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 xml:space="preserve">PROVINCIA DI </w:t>
      </w:r>
      <w:r w:rsidR="00B07950">
        <w:rPr>
          <w:rFonts w:ascii="Pluto Sans Medium" w:eastAsia="Times" w:hAnsi="Pluto Sans Medium" w:cs="Arial"/>
          <w:color w:val="595959" w:themeColor="text1" w:themeTint="A6"/>
          <w:spacing w:val="40"/>
          <w:sz w:val="36"/>
          <w:szCs w:val="24"/>
        </w:rPr>
        <w:t>P</w:t>
      </w:r>
      <w:r w:rsidR="002926AA">
        <w:rPr>
          <w:rFonts w:ascii="Pluto Sans Medium" w:eastAsia="Times" w:hAnsi="Pluto Sans Medium" w:cs="Arial"/>
          <w:color w:val="595959" w:themeColor="text1" w:themeTint="A6"/>
          <w:spacing w:val="40"/>
          <w:sz w:val="36"/>
          <w:szCs w:val="24"/>
        </w:rPr>
        <w:t>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 xml:space="preserve">STAGIONE SPORTIVA </w:t>
      </w:r>
      <w:r w:rsidR="00936E87">
        <w:rPr>
          <w:rFonts w:ascii="Pluto Sans Medium" w:eastAsia="Times" w:hAnsi="Pluto Sans Medium" w:cs="Arial"/>
          <w:i/>
          <w:color w:val="C00000"/>
          <w:spacing w:val="40"/>
          <w:sz w:val="36"/>
          <w:szCs w:val="24"/>
        </w:rPr>
        <w:t>2019/2020</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BE51FC">
        <w:rPr>
          <w:rFonts w:ascii="Pluto Sans Medium" w:eastAsia="Times" w:hAnsi="Pluto Sans Medium" w:cs="Arial"/>
          <w:color w:val="C00000"/>
          <w:spacing w:val="40"/>
          <w:sz w:val="40"/>
          <w:szCs w:val="24"/>
        </w:rPr>
        <w:t>5</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Pr>
          <w:rFonts w:ascii="Pluto Sans Medium" w:hAnsi="Pluto Sans Medium" w:cs="Arial"/>
          <w:i/>
          <w:iCs/>
        </w:rPr>
        <w:t xml:space="preserve">A.S.D. </w:t>
      </w:r>
      <w:r w:rsidRPr="002D3800">
        <w:rPr>
          <w:rFonts w:ascii="Pluto Sans Medium" w:hAnsi="Pluto Sans Medium" w:cs="Arial"/>
          <w:i/>
          <w:iCs/>
        </w:rPr>
        <w:t>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Calcio Amatoriale Italiano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BE51FC">
        <w:rPr>
          <w:rFonts w:ascii="Pluto Sans Medium" w:hAnsi="Pluto Sans Medium" w:cs="Arial"/>
        </w:rPr>
        <w:t>5</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di P</w:t>
      </w:r>
      <w:r w:rsidR="002926AA">
        <w:rPr>
          <w:rFonts w:ascii="Pluto Sans Medium" w:hAnsi="Pluto Sans Medium" w:cs="Arial"/>
        </w:rPr>
        <w:t>iacenza</w:t>
      </w:r>
      <w:r w:rsidR="000B3207" w:rsidRPr="00FF6557">
        <w:rPr>
          <w:rFonts w:ascii="Pluto Sans Medium" w:hAnsi="Pluto Sans Medium" w:cs="Arial"/>
        </w:rPr>
        <w:t xml:space="preserve"> </w:t>
      </w:r>
      <w:r w:rsidR="00936E87">
        <w:rPr>
          <w:rFonts w:ascii="Pluto Sans Medium" w:hAnsi="Pluto Sans Medium" w:cs="Arial"/>
        </w:rPr>
        <w:t>2019-2020</w:t>
      </w:r>
      <w:r w:rsidR="000D1AFF" w:rsidRPr="00FF6557">
        <w:rPr>
          <w:rFonts w:ascii="Pluto Sans Medium" w:hAnsi="Pluto Sans Medium" w:cs="Arial"/>
        </w:rPr>
        <w:t xml:space="preserve"> </w:t>
      </w:r>
      <w:r w:rsidR="002108A6" w:rsidRPr="00FF6557">
        <w:rPr>
          <w:rFonts w:ascii="Pluto Sans Medium" w:hAnsi="Pluto Sans Medium" w:cs="Arial"/>
        </w:rPr>
        <w:t xml:space="preserve">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B07950">
        <w:rPr>
          <w:rFonts w:ascii="Pluto Sans Medium" w:hAnsi="Pluto Sans Medium" w:cs="Arial"/>
        </w:rPr>
        <w:t>ottobre</w:t>
      </w:r>
      <w:r w:rsidR="00C41B0E" w:rsidRPr="00FF6557">
        <w:rPr>
          <w:rFonts w:ascii="Pluto Sans Medium" w:hAnsi="Pluto Sans Medium" w:cs="Arial"/>
        </w:rPr>
        <w:t xml:space="preserve"> 201</w:t>
      </w:r>
      <w:r w:rsidR="00936E87">
        <w:rPr>
          <w:rFonts w:ascii="Pluto Sans Medium" w:hAnsi="Pluto Sans Medium" w:cs="Arial"/>
        </w:rPr>
        <w:t>9</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w:t>
      </w:r>
      <w:r w:rsidR="00936E87">
        <w:rPr>
          <w:rFonts w:ascii="Pluto Sans Medium" w:hAnsi="Pluto Sans Medium" w:cs="Arial"/>
        </w:rPr>
        <w:t>19</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D15AC">
        <w:rPr>
          <w:rFonts w:ascii="Pluto Sans Medium" w:hAnsi="Pluto Sans Medium" w:cs="Arial"/>
        </w:rPr>
        <w:t>gennaio</w:t>
      </w:r>
      <w:r w:rsidR="002108A6" w:rsidRPr="00FF6557">
        <w:rPr>
          <w:rFonts w:ascii="Pluto Sans Medium" w:hAnsi="Pluto Sans Medium" w:cs="Arial"/>
        </w:rPr>
        <w:t xml:space="preserve"> </w:t>
      </w:r>
      <w:r w:rsidR="00C41B0E" w:rsidRPr="00FF6557">
        <w:rPr>
          <w:rFonts w:ascii="Pluto Sans Medium" w:hAnsi="Pluto Sans Medium" w:cs="Arial"/>
        </w:rPr>
        <w:t>20</w:t>
      </w:r>
      <w:r w:rsidR="00936E87">
        <w:rPr>
          <w:rFonts w:ascii="Pluto Sans Medium" w:hAnsi="Pluto Sans Medium" w:cs="Arial"/>
        </w:rPr>
        <w:t>20</w:t>
      </w:r>
      <w:r w:rsidR="004D3DCE">
        <w:rPr>
          <w:rFonts w:ascii="Pluto Sans Medium" w:hAnsi="Pluto Sans Medium" w:cs="Arial"/>
        </w:rPr>
        <w:t xml:space="preserve">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w:t>
      </w:r>
      <w:r w:rsidR="00936E87">
        <w:rPr>
          <w:rFonts w:ascii="Pluto Sans Medium" w:hAnsi="Pluto Sans Medium" w:cs="Arial"/>
        </w:rPr>
        <w:t>20</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Pr="00CC5CA9">
        <w:rPr>
          <w:rFonts w:ascii="Pluto Sans Medium" w:hAnsi="Pluto Sans Medium" w:cs="Arial"/>
        </w:rPr>
        <w:t xml:space="preserve"> saranno qualificate  ai Playoff validi per il Titolo </w:t>
      </w:r>
      <w:r w:rsidR="00760D4C">
        <w:rPr>
          <w:rFonts w:ascii="Pluto Sans Medium" w:hAnsi="Pluto Sans Medium" w:cs="Arial"/>
        </w:rPr>
        <w:t>Apertura</w:t>
      </w:r>
      <w:r w:rsidRPr="00CC5CA9">
        <w:rPr>
          <w:rFonts w:ascii="Pluto Sans Medium" w:hAnsi="Pluto Sans Medium" w:cs="Arial"/>
        </w:rPr>
        <w:t>. Le prime due squadre classificate saranno matematicamente qualificate alle Semifinali, mentre le altre si giocheranno due fasi di  spareggi. Nel</w:t>
      </w:r>
      <w:r>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C43344" w:rsidRDefault="005546C4" w:rsidP="00A21C63">
      <w:pPr>
        <w:widowControl w:val="0"/>
        <w:spacing w:after="120" w:line="240" w:lineRule="auto"/>
        <w:jc w:val="both"/>
        <w:rPr>
          <w:rFonts w:ascii="Pluto Sans Medium" w:hAnsi="Pluto Sans Medium" w:cs="Arial"/>
        </w:rPr>
      </w:pPr>
      <w:r w:rsidRPr="005546C4">
        <w:rPr>
          <w:rFonts w:ascii="Pluto Sans Medium" w:hAnsi="Pluto Sans Medium" w:cs="Arial"/>
        </w:rPr>
        <w:t>Le vincenti dei due spareggi andranno ad affrontare rispettivamente la 2^ e la 1^ classificata della Regular Season. In ogni gara in caso di parità al termine dei tempi regolamentari si procederà con i calci di rigore. Nella Finale 1°/2° posto, in caso di parità al termine dei tempi regolamentari, si procederà con due tempi supplementari della durata di 5 minuti ciascuno; in caso di ulteriore parità al termine dei tempi supplementari si procederà con i calci di rigore.</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w:t>
      </w:r>
      <w:r w:rsidR="005546C4">
        <w:rPr>
          <w:rFonts w:ascii="Pluto Sans Medium" w:hAnsi="Pluto Sans Medium" w:cs="Arial"/>
        </w:rPr>
        <w:t>CAI</w:t>
      </w:r>
      <w:r w:rsidR="00EA177C" w:rsidRPr="00EA177C">
        <w:rPr>
          <w:rFonts w:ascii="Pluto Sans Medium" w:hAnsi="Pluto Sans Medium" w:cs="Arial"/>
        </w:rPr>
        <w:t xml:space="preserve">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936E87">
        <w:rPr>
          <w:rFonts w:ascii="Pluto Sans Medium" w:hAnsi="Pluto Sans Medium" w:cs="Arial"/>
        </w:rPr>
        <w:t>7</w:t>
      </w:r>
      <w:r w:rsidR="00AD15AC">
        <w:rPr>
          <w:rFonts w:ascii="Pluto Sans Medium" w:hAnsi="Pluto Sans Medium" w:cs="Arial"/>
        </w:rPr>
        <w:t xml:space="preserve"> </w:t>
      </w:r>
      <w:r w:rsidR="00B07950">
        <w:rPr>
          <w:rFonts w:ascii="Pluto Sans Medium" w:hAnsi="Pluto Sans Medium" w:cs="Arial"/>
        </w:rPr>
        <w:t>ottobre</w:t>
      </w:r>
      <w:r w:rsidRPr="00EA177C">
        <w:rPr>
          <w:rFonts w:ascii="Pluto Sans Medium" w:hAnsi="Pluto Sans Medium" w:cs="Arial"/>
        </w:rPr>
        <w:t xml:space="preserve"> 201</w:t>
      </w:r>
      <w:r w:rsidR="00936E87">
        <w:rPr>
          <w:rFonts w:ascii="Pluto Sans Medium" w:hAnsi="Pluto Sans Medium" w:cs="Arial"/>
        </w:rPr>
        <w:t>9</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w:t>
      </w:r>
      <w:r w:rsidR="00936E87">
        <w:rPr>
          <w:rFonts w:ascii="Pluto Sans Medium" w:hAnsi="Pluto Sans Medium" w:cs="Arial"/>
        </w:rPr>
        <w:t>20</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BE51FC" w:rsidRPr="00BE51FC" w:rsidRDefault="00BE51FC" w:rsidP="00BE51FC">
      <w:pPr>
        <w:widowControl w:val="0"/>
        <w:spacing w:after="120" w:line="240" w:lineRule="auto"/>
        <w:rPr>
          <w:rFonts w:ascii="Pluto Sans Medium" w:hAnsi="Pluto Sans Medium" w:cs="Arial"/>
          <w:b/>
        </w:rPr>
      </w:pPr>
      <w:r w:rsidRPr="00BE51FC">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12 Giocatori per squadra, più tre Dirigenti/Tecnici e un medico provvisto di documento che ne attesti la professione. Al campionato si applicheranno le regole di giuoco emanate dalla F.I.G.C. (disponibili all’indirizzo </w:t>
      </w:r>
      <w:hyperlink r:id="rId10" w:history="1">
        <w:r w:rsidRPr="009F4A59">
          <w:rPr>
            <w:rStyle w:val="Collegamentoipertestuale"/>
            <w:rFonts w:ascii="Pluto Sans Medium" w:hAnsi="Pluto Sans Medium" w:cs="Cambria"/>
          </w:rPr>
          <w:t>http://www.figc.it/it/98/3821/Norme.shtml</w:t>
        </w:r>
      </w:hyperlink>
      <w:r w:rsidRPr="00BE51FC">
        <w:rPr>
          <w:rFonts w:ascii="Pluto Sans Medium" w:hAnsi="Pluto Sans Medium" w:cs="Cambria"/>
        </w:rPr>
        <w:t xml:space="preserve"> ) salvo le eccezioni previste nel presente Regolamento.</w:t>
      </w:r>
    </w:p>
    <w:p w:rsidR="00E9136D" w:rsidRPr="000D1AFF" w:rsidRDefault="00DE4E52" w:rsidP="00BE51F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w:t>
      </w:r>
      <w:r w:rsidRPr="002D3800">
        <w:rPr>
          <w:rFonts w:ascii="Pluto Sans Medium" w:hAnsi="Pluto Sans Medium" w:cs="Arial"/>
        </w:rPr>
        <w:lastRenderedPageBreak/>
        <w:t xml:space="preserve">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5546C4">
        <w:rPr>
          <w:rFonts w:ascii="Pluto Sans Medium" w:hAnsi="Pluto Sans Medium" w:cs="Arial"/>
        </w:rPr>
        <w:t>le ore 17:3</w:t>
      </w:r>
      <w:r w:rsidR="00B46A8C">
        <w:rPr>
          <w:rFonts w:ascii="Pluto Sans Medium" w:hAnsi="Pluto Sans Medium" w:cs="Arial"/>
        </w:rPr>
        <w:t>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936E87" w:rsidRPr="002D3800" w:rsidRDefault="00936E87" w:rsidP="000D1AFF">
      <w:pPr>
        <w:widowControl w:val="0"/>
        <w:spacing w:after="120" w:line="240" w:lineRule="auto"/>
        <w:jc w:val="both"/>
        <w:rPr>
          <w:rFonts w:ascii="Pluto Sans Medium" w:hAnsi="Pluto Sans Medium" w:cs="Arial"/>
        </w:rPr>
      </w:pP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lastRenderedPageBreak/>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 xml:space="preserve">Le Squadre, rappresentate dal proprio Responsabile di Squadra, per partecipare al Campionato Provinciale </w:t>
      </w:r>
      <w:r w:rsidR="005546C4">
        <w:rPr>
          <w:rFonts w:ascii="Pluto Sans Medium" w:hAnsi="Pluto Sans Medium" w:cs="Arial"/>
        </w:rPr>
        <w:t>CAI</w:t>
      </w:r>
      <w:r w:rsidRPr="008E165A">
        <w:rPr>
          <w:rFonts w:ascii="Pluto Sans Medium" w:hAnsi="Pluto Sans Medium" w:cs="Arial"/>
        </w:rPr>
        <w:t xml:space="preserve"> hanno l’obbligo di richiedere il tesseramento dei propri Giocatori. Il tesseramento ha validità per una stagione sportiva, a partire dal dalla data di validazione fino al 31 agosto 20</w:t>
      </w:r>
      <w:r w:rsidR="00936E87">
        <w:rPr>
          <w:rFonts w:ascii="Pluto Sans Medium" w:hAnsi="Pluto Sans Medium" w:cs="Arial"/>
        </w:rPr>
        <w:t>20</w:t>
      </w:r>
      <w:r w:rsidRPr="008E165A">
        <w:rPr>
          <w:rFonts w:ascii="Pluto Sans Medium" w:hAnsi="Pluto Sans Medium" w:cs="Arial"/>
        </w:rPr>
        <w:t xml:space="preserve">. L’età minima richiesta per il tesseramento è di 16 anni. Ogni Squadra può tesserare un numero illimitato di Giocatori durante le finestre di tesseramento. I giocatori possono essere tesserati per una sola Squadra partecipante al Campionato </w:t>
      </w:r>
      <w:r w:rsidR="005546C4">
        <w:rPr>
          <w:rFonts w:ascii="Pluto Sans Medium" w:hAnsi="Pluto Sans Medium" w:cs="Arial"/>
        </w:rPr>
        <w:t>CAI</w:t>
      </w:r>
      <w:r w:rsidRPr="008E165A">
        <w:rPr>
          <w:rFonts w:ascii="Pluto Sans Medium" w:hAnsi="Pluto Sans Medium" w:cs="Arial"/>
        </w:rPr>
        <w:t xml:space="preserve"> (i.e. Calcio a 11). La prima finestra di tesser</w:t>
      </w:r>
      <w:r w:rsidR="00936E87">
        <w:rPr>
          <w:rFonts w:ascii="Pluto Sans Medium" w:hAnsi="Pluto Sans Medium" w:cs="Arial"/>
        </w:rPr>
        <w:t>amento inizia il 1 settembre 20</w:t>
      </w:r>
      <w:r w:rsidR="00FD786D">
        <w:rPr>
          <w:rFonts w:ascii="Pluto Sans Medium" w:hAnsi="Pluto Sans Medium" w:cs="Arial"/>
        </w:rPr>
        <w:t>19</w:t>
      </w:r>
      <w:bookmarkStart w:id="0" w:name="_GoBack"/>
      <w:bookmarkEnd w:id="0"/>
      <w:r w:rsidRPr="008E165A">
        <w:rPr>
          <w:rFonts w:ascii="Pluto Sans Medium" w:hAnsi="Pluto Sans Medium" w:cs="Arial"/>
        </w:rPr>
        <w:t xml:space="preserve"> e chiude il </w:t>
      </w:r>
      <w:r w:rsidR="00936E87">
        <w:rPr>
          <w:rFonts w:ascii="Pluto Sans Medium" w:hAnsi="Pluto Sans Medium" w:cs="Arial"/>
        </w:rPr>
        <w:t>3</w:t>
      </w:r>
      <w:r w:rsidRPr="008E165A">
        <w:rPr>
          <w:rFonts w:ascii="Pluto Sans Medium" w:hAnsi="Pluto Sans Medium" w:cs="Arial"/>
        </w:rPr>
        <w:t xml:space="preserve"> </w:t>
      </w:r>
      <w:r w:rsidR="005546C4">
        <w:rPr>
          <w:rFonts w:ascii="Pluto Sans Medium" w:hAnsi="Pluto Sans Medium" w:cs="Arial"/>
        </w:rPr>
        <w:t>novembre</w:t>
      </w:r>
      <w:r w:rsidRPr="008E165A">
        <w:rPr>
          <w:rFonts w:ascii="Pluto Sans Medium" w:hAnsi="Pluto Sans Medium" w:cs="Arial"/>
        </w:rPr>
        <w:t xml:space="preserve"> 201</w:t>
      </w:r>
      <w:r w:rsidR="00936E87">
        <w:rPr>
          <w:rFonts w:ascii="Pluto Sans Medium" w:hAnsi="Pluto Sans Medium" w:cs="Arial"/>
        </w:rPr>
        <w:t>9</w:t>
      </w:r>
      <w:r w:rsidRPr="008E165A">
        <w:rPr>
          <w:rFonts w:ascii="Pluto Sans Medium" w:hAnsi="Pluto Sans Medium" w:cs="Arial"/>
        </w:rPr>
        <w:t>; la seconda finestra di tesseramento inizierà il 1 gennaio 20</w:t>
      </w:r>
      <w:r w:rsidR="00936E87">
        <w:rPr>
          <w:rFonts w:ascii="Pluto Sans Medium" w:hAnsi="Pluto Sans Medium" w:cs="Arial"/>
        </w:rPr>
        <w:t>20</w:t>
      </w:r>
      <w:r w:rsidRPr="008E165A">
        <w:rPr>
          <w:rFonts w:ascii="Pluto Sans Medium" w:hAnsi="Pluto Sans Medium" w:cs="Arial"/>
        </w:rPr>
        <w:t xml:space="preserve"> e chiuderà il </w:t>
      </w:r>
      <w:r w:rsidR="005546C4">
        <w:rPr>
          <w:rFonts w:ascii="Pluto Sans Medium" w:hAnsi="Pluto Sans Medium" w:cs="Arial"/>
        </w:rPr>
        <w:t>2</w:t>
      </w:r>
      <w:r w:rsidR="00936E87">
        <w:rPr>
          <w:rFonts w:ascii="Pluto Sans Medium" w:hAnsi="Pluto Sans Medium" w:cs="Arial"/>
        </w:rPr>
        <w:t>2</w:t>
      </w:r>
      <w:r w:rsidRPr="008E165A">
        <w:rPr>
          <w:rFonts w:ascii="Pluto Sans Medium" w:hAnsi="Pluto Sans Medium" w:cs="Arial"/>
        </w:rPr>
        <w:t xml:space="preserve"> marzo 20</w:t>
      </w:r>
      <w:r w:rsidR="00936E87">
        <w:rPr>
          <w:rFonts w:ascii="Pluto Sans Medium" w:hAnsi="Pluto Sans Medium" w:cs="Arial"/>
        </w:rPr>
        <w:t>20</w:t>
      </w:r>
      <w:r w:rsidRPr="008E165A">
        <w:rPr>
          <w:rFonts w:ascii="Pluto Sans Medium" w:hAnsi="Pluto Sans Medium" w:cs="Arial"/>
        </w:rPr>
        <w:t>.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BE51FC" w:rsidP="0078420E">
      <w:pPr>
        <w:widowControl w:val="0"/>
        <w:spacing w:after="120" w:line="240" w:lineRule="auto"/>
        <w:jc w:val="both"/>
        <w:rPr>
          <w:rFonts w:ascii="Pluto Sans Medium" w:hAnsi="Pluto Sans Medium" w:cs="Cambria"/>
        </w:rPr>
      </w:pPr>
      <w:r w:rsidRPr="00BE51FC">
        <w:rPr>
          <w:rFonts w:ascii="Pluto Sans Medium" w:hAnsi="Pluto Sans Medium" w:cs="Cambria"/>
        </w:rPr>
        <w:t>Non potranno essere tesserati al Campionato giocatori che risultano tesserati per Società partecipanti ai campionati F.I.G.C. di (i) calcio a 5 di Serie C1 e categorie superiori; e di (ii) calcio a 11 di Prima Categoria e categorie superiori (compresa la categoria Giovanile Juniores Nazionale e tutte le Categorie Giovanili Professionistiche).</w:t>
      </w:r>
      <w:r>
        <w:rPr>
          <w:rFonts w:ascii="Pluto Sans Medium" w:hAnsi="Pluto Sans Medium" w:cs="Cambria"/>
        </w:rPr>
        <w:t xml:space="preserve"> </w:t>
      </w:r>
      <w:r w:rsidRPr="00AD15AC">
        <w:rPr>
          <w:rFonts w:ascii="Pluto Sans Medium" w:hAnsi="Pluto Sans Medium" w:cs="Arial"/>
        </w:rPr>
        <w:t>Verrà tuttavia data la possibilità ad ogni squadra di tesserare:</w:t>
      </w:r>
    </w:p>
    <w:p w:rsidR="00B07950" w:rsidRPr="0078420E" w:rsidRDefault="00B07950" w:rsidP="00B07950">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Prima</w:t>
      </w:r>
      <w:r w:rsidRPr="0078420E">
        <w:rPr>
          <w:rFonts w:ascii="Pluto Sans Medium" w:hAnsi="Pluto Sans Medium" w:cs="Cambria"/>
        </w:rPr>
        <w:t xml:space="preserve"> Categoria</w:t>
      </w:r>
      <w:r w:rsidR="00BE51FC">
        <w:rPr>
          <w:rFonts w:ascii="Pluto Sans Medium" w:hAnsi="Pluto Sans Medium" w:cs="Cambria"/>
        </w:rPr>
        <w:t xml:space="preserve"> di Calcio a 11</w:t>
      </w:r>
      <w:r w:rsidR="00BE51FC" w:rsidRPr="0078420E">
        <w:rPr>
          <w:rFonts w:ascii="Pluto Sans Medium" w:hAnsi="Pluto Sans Medium" w:cs="Cambria"/>
        </w:rPr>
        <w:t xml:space="preserve"> </w:t>
      </w:r>
      <w:r w:rsidRPr="0078420E">
        <w:rPr>
          <w:rFonts w:ascii="Pluto Sans Medium" w:hAnsi="Pluto Sans Medium" w:cs="Cambria"/>
        </w:rPr>
        <w:t xml:space="preserve"> (di seguito “Giocatori F.I.G.C. Liberi di </w:t>
      </w:r>
      <w:r>
        <w:rPr>
          <w:rFonts w:ascii="Pluto Sans Medium" w:hAnsi="Pluto Sans Medium" w:cs="Cambria"/>
        </w:rPr>
        <w:t>Prima</w:t>
      </w:r>
      <w:r w:rsidRPr="0078420E">
        <w:rPr>
          <w:rFonts w:ascii="Pluto Sans Medium" w:hAnsi="Pluto Sans Medium" w:cs="Cambria"/>
        </w:rPr>
        <w:t>”).</w:t>
      </w:r>
    </w:p>
    <w:p w:rsidR="00BE51FC" w:rsidRPr="00BE51FC" w:rsidRDefault="00BE51FC" w:rsidP="00BE51FC">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Serie C1 di Calcio a 5</w:t>
      </w:r>
      <w:r w:rsidRPr="0078420E">
        <w:rPr>
          <w:rFonts w:ascii="Pluto Sans Medium" w:hAnsi="Pluto Sans Medium" w:cs="Cambria"/>
        </w:rPr>
        <w:t xml:space="preserve"> (di seguito “Giocatori F.I.G.C. Liberi di </w:t>
      </w:r>
      <w:r>
        <w:rPr>
          <w:rFonts w:ascii="Pluto Sans Medium" w:hAnsi="Pluto Sans Medium" w:cs="Cambria"/>
        </w:rPr>
        <w:t>Serie C1</w:t>
      </w:r>
      <w:r w:rsidRPr="0078420E">
        <w:rPr>
          <w:rFonts w:ascii="Pluto Sans Medium" w:hAnsi="Pluto Sans Medium" w:cs="Cambria"/>
        </w:rPr>
        <w:t>”).</w:t>
      </w:r>
    </w:p>
    <w:p w:rsidR="00CA1808" w:rsidRDefault="00CA1808" w:rsidP="0078420E">
      <w:pPr>
        <w:widowControl w:val="0"/>
        <w:spacing w:after="120" w:line="240" w:lineRule="auto"/>
        <w:jc w:val="both"/>
        <w:rPr>
          <w:rFonts w:ascii="Pluto Sans Medium" w:hAnsi="Pluto Sans Medium" w:cs="Cambria"/>
        </w:rPr>
      </w:pP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Nella distinta di gara potranno essere presenti al massimo n. </w:t>
      </w:r>
      <w:r w:rsidR="00CE1325">
        <w:rPr>
          <w:rFonts w:ascii="Pluto Sans Medium" w:hAnsi="Pluto Sans Medium" w:cs="Cambria"/>
        </w:rPr>
        <w:t>3</w:t>
      </w:r>
      <w:r w:rsidRPr="0078420E">
        <w:rPr>
          <w:rFonts w:ascii="Pluto Sans Medium" w:hAnsi="Pluto Sans Medium" w:cs="Cambria"/>
        </w:rPr>
        <w:t xml:space="preserve"> “tesserati”  F.I.G.C</w:t>
      </w:r>
      <w:r w:rsidR="00B07950">
        <w:rPr>
          <w:rFonts w:ascii="Pluto Sans Medium" w:hAnsi="Pluto Sans Medium" w:cs="Cambria"/>
        </w:rPr>
        <w:t xml:space="preserve">. </w:t>
      </w:r>
      <w:r w:rsidR="00BE51FC">
        <w:rPr>
          <w:rFonts w:ascii="Pluto Sans Medium" w:hAnsi="Pluto Sans Medium" w:cs="Cambria"/>
        </w:rPr>
        <w:t xml:space="preserve">di </w:t>
      </w:r>
      <w:r w:rsidR="00B07950">
        <w:rPr>
          <w:rFonts w:ascii="Pluto Sans Medium" w:hAnsi="Pluto Sans Medium" w:cs="Cambria"/>
        </w:rPr>
        <w:t xml:space="preserve">Prima Categoria </w:t>
      </w:r>
      <w:r w:rsidR="00BE51FC">
        <w:rPr>
          <w:rFonts w:ascii="Pluto Sans Medium" w:hAnsi="Pluto Sans Medium" w:cs="Cambria"/>
        </w:rPr>
        <w:t>di Calcio a 11 o di Serie C1 di Calcio a 5</w:t>
      </w:r>
      <w:r w:rsidR="00CE1325">
        <w:rPr>
          <w:rFonts w:ascii="Pluto Sans Medium" w:hAnsi="Pluto Sans Medium" w:cs="Cambria"/>
        </w:rPr>
        <w:t>.</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 xml:space="preserve">I Giocatori che partecipano ai campionati F.I.G.C. Juniores Regionali </w:t>
      </w:r>
      <w:r w:rsidR="00936E87">
        <w:rPr>
          <w:rFonts w:ascii="Pluto Sans Medium" w:hAnsi="Pluto Sans Medium" w:cs="Cambria"/>
        </w:rPr>
        <w:t xml:space="preserve">e Juniores Provinciali </w:t>
      </w:r>
      <w:r w:rsidRPr="008E165A">
        <w:rPr>
          <w:rFonts w:ascii="Pluto Sans Medium" w:hAnsi="Pluto Sans Medium" w:cs="Cambria"/>
        </w:rPr>
        <w:t>(nati dal 1/1/</w:t>
      </w:r>
      <w:r w:rsidR="00936E87">
        <w:rPr>
          <w:rFonts w:ascii="Pluto Sans Medium" w:hAnsi="Pluto Sans Medium" w:cs="Cambria"/>
        </w:rPr>
        <w:t>2000</w:t>
      </w:r>
      <w:r w:rsidRPr="008E165A">
        <w:rPr>
          <w:rFonts w:ascii="Pluto Sans Medium" w:hAnsi="Pluto Sans Medium" w:cs="Cambria"/>
        </w:rPr>
        <w:t xml:space="preserve">) sono equiparati ai Giocatori F.I.G.C. Liberi di </w:t>
      </w:r>
      <w:r w:rsidR="00936E87">
        <w:rPr>
          <w:rFonts w:ascii="Pluto Sans Medium" w:hAnsi="Pluto Sans Medium" w:cs="Cambria"/>
        </w:rPr>
        <w:t xml:space="preserve">Terza, </w:t>
      </w:r>
      <w:r w:rsidRPr="008E165A">
        <w:rPr>
          <w:rFonts w:ascii="Pluto Sans Medium" w:hAnsi="Pluto Sans Medium" w:cs="Cambria"/>
        </w:rPr>
        <w:t>non sono soggetti a limitazioni e pertanto possono essere liberamente presenti nella distinta di gara. Le squadre sono tenute a presentare, all’atto del tesseramento, l’attestato che certifichi l’effettiva appartenenza F.I.G.C. del tesserato Juniores.</w:t>
      </w:r>
    </w:p>
    <w:p w:rsidR="00936E87" w:rsidRDefault="00936E87" w:rsidP="00936E87">
      <w:pPr>
        <w:widowControl w:val="0"/>
        <w:spacing w:after="120" w:line="240" w:lineRule="auto"/>
        <w:ind w:firstLine="284"/>
        <w:jc w:val="both"/>
        <w:rPr>
          <w:rFonts w:ascii="Pluto Sans Medium" w:hAnsi="Pluto Sans Medium" w:cs="Cambria"/>
        </w:rPr>
      </w:pPr>
      <w:r>
        <w:rPr>
          <w:rFonts w:ascii="Pluto Sans Medium" w:hAnsi="Pluto Sans Medium" w:cs="Cambria"/>
        </w:rPr>
        <w:t xml:space="preserve">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2019/2020 non è impiegato e non disputerà gare di campionato nelle categorie F.I.G.C. non consentite, nonostante risulti ancora </w:t>
      </w:r>
      <w:r>
        <w:rPr>
          <w:rFonts w:ascii="Pluto Sans Medium" w:hAnsi="Pluto Sans Medium" w:cs="Cambria"/>
        </w:rPr>
        <w:lastRenderedPageBreak/>
        <w:t xml:space="preserve">tesserato per la stessa squadra F.I.G.C.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Il Comitato Organizzatore CAI consente a un giocatore l’utilizzo di una sola lettera di manleva o attestazione di svincolo/trasferimento nella stessa stagione sportiva, e solamente per le categorie consentite dal Regolamento ovvero sarà possibile utilizzare giocatori tesserati solo per la </w:t>
      </w:r>
      <w:r>
        <w:rPr>
          <w:rFonts w:ascii="Pluto Sans Medium" w:hAnsi="Pluto Sans Medium" w:cs="Cambria"/>
        </w:rPr>
        <w:t xml:space="preserve">1^, </w:t>
      </w:r>
      <w:r>
        <w:rPr>
          <w:rFonts w:ascii="Pluto Sans Medium" w:hAnsi="Pluto Sans Medium" w:cs="Cambria"/>
        </w:rPr>
        <w:t xml:space="preserve">2^ e 3^ categoria </w:t>
      </w:r>
      <w:r>
        <w:rPr>
          <w:rFonts w:ascii="Pluto Sans Medium" w:hAnsi="Pluto Sans Medium" w:cs="Cambria"/>
        </w:rPr>
        <w:t xml:space="preserve">di Calcio a 11 </w:t>
      </w:r>
      <w:r>
        <w:rPr>
          <w:rFonts w:ascii="Pluto Sans Medium" w:hAnsi="Pluto Sans Medium" w:cs="Cambria"/>
        </w:rPr>
        <w:t>F.I.G.C</w:t>
      </w:r>
      <w:r>
        <w:rPr>
          <w:rFonts w:ascii="Pluto Sans Medium" w:hAnsi="Pluto Sans Medium" w:cs="Cambria"/>
        </w:rPr>
        <w:t>. e per la C1, C2 e Serie D di Calcio a 5 F.I.G.C.</w:t>
      </w:r>
      <w:r>
        <w:rPr>
          <w:rFonts w:ascii="Pluto Sans Medium" w:hAnsi="Pluto Sans Medium" w:cs="Cambria"/>
        </w:rPr>
        <w:t xml:space="preserve">. La lettera può essere presentata entro le seguenti finestre: dal 01/09/2019 al 03/11/2019 e dal 01/01/2020 al 02/02/2020. </w:t>
      </w:r>
    </w:p>
    <w:p w:rsidR="00936E87" w:rsidRDefault="00936E87" w:rsidP="00936E87">
      <w:pPr>
        <w:widowControl w:val="0"/>
        <w:spacing w:after="120" w:line="240" w:lineRule="auto"/>
        <w:ind w:firstLine="284"/>
        <w:jc w:val="both"/>
        <w:rPr>
          <w:rFonts w:ascii="Pluto Sans Medium" w:hAnsi="Pluto Sans Medium" w:cs="Cambria"/>
        </w:rPr>
      </w:pPr>
      <w:r>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 xml:space="preserve">a dal Giocatore che richiede il </w:t>
      </w:r>
      <w:r w:rsidR="006F24E0">
        <w:rPr>
          <w:rFonts w:ascii="Pluto Sans Medium" w:hAnsi="Pluto Sans Medium" w:cs="Arial"/>
        </w:rPr>
        <w:lastRenderedPageBreak/>
        <w:t>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BE51FC">
        <w:rPr>
          <w:rFonts w:ascii="Pluto Sans Medium" w:hAnsi="Pluto Sans Medium" w:cs="Arial"/>
        </w:rPr>
        <w:t>6</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lastRenderedPageBreak/>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 xml:space="preserve">Campionato </w:t>
      </w:r>
      <w:r w:rsidR="005546C4">
        <w:rPr>
          <w:rFonts w:ascii="Pluto Sans Medium" w:hAnsi="Pluto Sans Medium" w:cs="Arial"/>
        </w:rPr>
        <w:t>CAI</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BE51FC">
        <w:rPr>
          <w:rFonts w:ascii="Pluto Sans Medium" w:hAnsi="Pluto Sans Medium" w:cs="Arial"/>
        </w:rPr>
        <w:t>6</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w:t>
      </w:r>
      <w:r w:rsidR="004428C1" w:rsidRPr="00F907EA">
        <w:rPr>
          <w:rFonts w:ascii="Pluto Sans Medium" w:hAnsi="Pluto Sans Medium" w:cs="Arial"/>
        </w:rPr>
        <w:lastRenderedPageBreak/>
        <w:t xml:space="preserve">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BE51FC">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w:t>
      </w:r>
      <w:r w:rsidRPr="002D3800">
        <w:rPr>
          <w:rFonts w:ascii="Pluto Sans Medium" w:hAnsi="Pluto Sans Medium" w:cs="Arial"/>
        </w:rPr>
        <w:lastRenderedPageBreak/>
        <w:t>“presa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936E87" w:rsidRPr="00936E87">
        <w:rPr>
          <w:rFonts w:ascii="Pluto Sans Medium" w:hAnsi="Pluto Sans Medium" w:cs="Arial"/>
          <w:u w:val="single"/>
        </w:rPr>
        <w:t>(Pronto Arbitri tel. 329 2027678 - 348 0082468 – 335 7742780).</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 xml:space="preserve">o a essa rapportati o </w:t>
      </w:r>
      <w:r w:rsidRPr="00562F2A">
        <w:rPr>
          <w:rFonts w:ascii="Pluto Sans Medium" w:hAnsi="Pluto Sans Medium" w:cs="Arial"/>
        </w:rPr>
        <w:lastRenderedPageBreak/>
        <w:t>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w:t>
      </w:r>
      <w:r w:rsidRPr="002D3800">
        <w:rPr>
          <w:rFonts w:ascii="Pluto Sans Medium" w:hAnsi="Pluto Sans Medium" w:cs="Arial"/>
        </w:rPr>
        <w:lastRenderedPageBreak/>
        <w:t>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lastRenderedPageBreak/>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lastRenderedPageBreak/>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lastRenderedPageBreak/>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lastRenderedPageBreak/>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B07950">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lastRenderedPageBreak/>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w:t>
      </w:r>
      <w:r w:rsidRPr="002D3800">
        <w:rPr>
          <w:rFonts w:ascii="Pluto Sans Medium" w:hAnsi="Pluto Sans Medium" w:cs="Arial"/>
        </w:rPr>
        <w:lastRenderedPageBreak/>
        <w:t>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 xml:space="preserve">Campionato </w:t>
      </w:r>
      <w:r w:rsidR="005546C4">
        <w:rPr>
          <w:rFonts w:ascii="Pluto Sans Medium" w:hAnsi="Pluto Sans Medium" w:cs="Arial"/>
        </w:rPr>
        <w:t>CAI</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lastRenderedPageBreak/>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lastRenderedPageBreak/>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2A" w:rsidRDefault="0061272A" w:rsidP="00DE4E52">
      <w:pPr>
        <w:spacing w:after="0" w:line="240" w:lineRule="auto"/>
      </w:pPr>
      <w:r>
        <w:separator/>
      </w:r>
    </w:p>
  </w:endnote>
  <w:endnote w:type="continuationSeparator" w:id="0">
    <w:p w:rsidR="0061272A" w:rsidRDefault="0061272A"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altName w:val="Calibri"/>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randon Grotesque Medium">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B07950" w:rsidRPr="00E00559" w:rsidRDefault="00B07950"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F1485C">
              <w:rPr>
                <w:rFonts w:ascii="Pluto Sans Medium" w:hAnsi="Pluto Sans Medium" w:cs="Times New Roman"/>
                <w:bCs/>
                <w:noProof/>
                <w:sz w:val="20"/>
              </w:rPr>
              <w:t>4</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F1485C">
              <w:rPr>
                <w:rFonts w:ascii="Pluto Sans Medium" w:hAnsi="Pluto Sans Medium" w:cs="Times New Roman"/>
                <w:bCs/>
                <w:noProof/>
                <w:sz w:val="20"/>
              </w:rPr>
              <w:t>21</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2A" w:rsidRDefault="0061272A" w:rsidP="00DE4E52">
      <w:pPr>
        <w:spacing w:after="0" w:line="240" w:lineRule="auto"/>
      </w:pPr>
      <w:r>
        <w:separator/>
      </w:r>
    </w:p>
  </w:footnote>
  <w:footnote w:type="continuationSeparator" w:id="0">
    <w:p w:rsidR="0061272A" w:rsidRDefault="0061272A"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87" w:rsidRDefault="00936E87" w:rsidP="00936E87">
    <w:pPr>
      <w:pBdr>
        <w:left w:val="single" w:sz="4" w:space="4" w:color="auto"/>
      </w:pBdr>
      <w:spacing w:after="80" w:line="240" w:lineRule="auto"/>
      <w:ind w:left="1843" w:right="-569"/>
      <w:rPr>
        <w:rFonts w:ascii="Brandon Grotesque Medium" w:eastAsia="Times" w:hAnsi="Brandon Grotesque Medium"/>
        <w:spacing w:val="40"/>
        <w:sz w:val="24"/>
        <w:szCs w:val="24"/>
      </w:rPr>
    </w:pPr>
    <w:r>
      <w:rPr>
        <w:noProof/>
        <w:lang w:eastAsia="it-IT"/>
      </w:rPr>
      <w:drawing>
        <wp:anchor distT="0" distB="0" distL="114300" distR="114300" simplePos="0" relativeHeight="251659264" behindDoc="0" locked="0" layoutInCell="1" allowOverlap="1" wp14:anchorId="1634F4EF" wp14:editId="08A52408">
          <wp:simplePos x="0" y="0"/>
          <wp:positionH relativeFrom="column">
            <wp:posOffset>-227965</wp:posOffset>
          </wp:positionH>
          <wp:positionV relativeFrom="paragraph">
            <wp:posOffset>51435</wp:posOffset>
          </wp:positionV>
          <wp:extent cx="1173480" cy="602615"/>
          <wp:effectExtent l="0" t="0" r="7620" b="6985"/>
          <wp:wrapNone/>
          <wp:docPr id="2" name="Immagine 2" descr="Descrizione: Descrizione: 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Descrizione: 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02615"/>
                  </a:xfrm>
                  <a:prstGeom prst="rect">
                    <a:avLst/>
                  </a:prstGeom>
                  <a:noFill/>
                </pic:spPr>
              </pic:pic>
            </a:graphicData>
          </a:graphic>
          <wp14:sizeRelH relativeFrom="page">
            <wp14:pctWidth>0</wp14:pctWidth>
          </wp14:sizeRelH>
          <wp14:sizeRelV relativeFrom="page">
            <wp14:pctHeight>0</wp14:pctHeight>
          </wp14:sizeRelV>
        </wp:anchor>
      </w:drawing>
    </w:r>
    <w:r>
      <w:rPr>
        <w:rFonts w:ascii="Brandon Grotesque Medium" w:eastAsia="Times" w:hAnsi="Brandon Grotesque Medium"/>
        <w:spacing w:val="40"/>
        <w:sz w:val="24"/>
        <w:szCs w:val="24"/>
      </w:rPr>
      <w:t>CAMPIONATI DI CALCIO AMATORIALE</w:t>
    </w:r>
  </w:p>
  <w:p w:rsidR="00936E87" w:rsidRDefault="00936E87" w:rsidP="00936E87">
    <w:pPr>
      <w:pBdr>
        <w:left w:val="single" w:sz="4" w:space="4" w:color="auto"/>
      </w:pBdr>
      <w:spacing w:after="80" w:line="240" w:lineRule="auto"/>
      <w:ind w:left="1843"/>
      <w:rPr>
        <w:rFonts w:ascii="Brandon Grotesque Medium" w:eastAsia="Times" w:hAnsi="Brandon Grotesque Medium"/>
        <w:color w:val="7F7F7F" w:themeColor="text1" w:themeTint="80"/>
        <w:spacing w:val="40"/>
        <w:sz w:val="24"/>
        <w:szCs w:val="24"/>
      </w:rPr>
    </w:pPr>
    <w:r>
      <w:rPr>
        <w:rFonts w:ascii="Brandon Grotesque Medium" w:eastAsia="Times" w:hAnsi="Brandon Grotesque Medium"/>
        <w:color w:val="7F7F7F" w:themeColor="text1" w:themeTint="80"/>
        <w:spacing w:val="40"/>
        <w:sz w:val="24"/>
        <w:szCs w:val="24"/>
      </w:rPr>
      <w:t>PROVINCIA DI PIACENZA</w:t>
    </w:r>
  </w:p>
  <w:p w:rsidR="00936E87" w:rsidRDefault="00936E87" w:rsidP="00936E87">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 xml:space="preserve">CAMPIONATI CALCIO A </w:t>
    </w:r>
    <w:r>
      <w:rPr>
        <w:rFonts w:ascii="Brandon Grotesque Medium" w:eastAsia="Times" w:hAnsi="Brandon Grotesque Medium"/>
        <w:i/>
        <w:color w:val="7F7F7F" w:themeColor="text1" w:themeTint="80"/>
        <w:spacing w:val="40"/>
        <w:szCs w:val="24"/>
      </w:rPr>
      <w:t>5</w:t>
    </w:r>
  </w:p>
  <w:p w:rsidR="00936E87" w:rsidRDefault="00936E87" w:rsidP="00936E87">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2019/2020</w:t>
    </w:r>
  </w:p>
  <w:p w:rsidR="00B07950" w:rsidRPr="00C92C58" w:rsidRDefault="00B07950"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8">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9"/>
  </w:num>
  <w:num w:numId="7">
    <w:abstractNumId w:val="15"/>
  </w:num>
  <w:num w:numId="8">
    <w:abstractNumId w:val="7"/>
  </w:num>
  <w:num w:numId="9">
    <w:abstractNumId w:val="21"/>
  </w:num>
  <w:num w:numId="10">
    <w:abstractNumId w:val="3"/>
  </w:num>
  <w:num w:numId="11">
    <w:abstractNumId w:val="2"/>
  </w:num>
  <w:num w:numId="12">
    <w:abstractNumId w:val="4"/>
  </w:num>
  <w:num w:numId="13">
    <w:abstractNumId w:val="16"/>
  </w:num>
  <w:num w:numId="14">
    <w:abstractNumId w:val="23"/>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4"/>
  </w:num>
  <w:num w:numId="23">
    <w:abstractNumId w:val="8"/>
  </w:num>
  <w:num w:numId="24">
    <w:abstractNumId w:val="25"/>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7110"/>
    <w:rsid w:val="001A290D"/>
    <w:rsid w:val="001B069E"/>
    <w:rsid w:val="001B1260"/>
    <w:rsid w:val="001F29EE"/>
    <w:rsid w:val="001F78BF"/>
    <w:rsid w:val="00200C67"/>
    <w:rsid w:val="002049C5"/>
    <w:rsid w:val="002108A6"/>
    <w:rsid w:val="00210CF8"/>
    <w:rsid w:val="00214A9F"/>
    <w:rsid w:val="00221C4B"/>
    <w:rsid w:val="00222A7B"/>
    <w:rsid w:val="00226A0A"/>
    <w:rsid w:val="0024569F"/>
    <w:rsid w:val="00256744"/>
    <w:rsid w:val="00265A7D"/>
    <w:rsid w:val="0028756E"/>
    <w:rsid w:val="002926AA"/>
    <w:rsid w:val="00292FE0"/>
    <w:rsid w:val="00293E00"/>
    <w:rsid w:val="002A479B"/>
    <w:rsid w:val="002A7F82"/>
    <w:rsid w:val="002C5E6E"/>
    <w:rsid w:val="002D0352"/>
    <w:rsid w:val="002D3800"/>
    <w:rsid w:val="002D534A"/>
    <w:rsid w:val="002D6005"/>
    <w:rsid w:val="002E251B"/>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4A89"/>
    <w:rsid w:val="005305EF"/>
    <w:rsid w:val="00533DA6"/>
    <w:rsid w:val="00537CC7"/>
    <w:rsid w:val="005546C4"/>
    <w:rsid w:val="0055728A"/>
    <w:rsid w:val="00562F2A"/>
    <w:rsid w:val="00572911"/>
    <w:rsid w:val="00585D57"/>
    <w:rsid w:val="00597995"/>
    <w:rsid w:val="005A36CD"/>
    <w:rsid w:val="005A550E"/>
    <w:rsid w:val="005B254E"/>
    <w:rsid w:val="005B4E2C"/>
    <w:rsid w:val="005D31DC"/>
    <w:rsid w:val="005E144F"/>
    <w:rsid w:val="005F6B73"/>
    <w:rsid w:val="005F7C7D"/>
    <w:rsid w:val="00600393"/>
    <w:rsid w:val="00611094"/>
    <w:rsid w:val="0061272A"/>
    <w:rsid w:val="00622EB4"/>
    <w:rsid w:val="006441DF"/>
    <w:rsid w:val="00671937"/>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5516D"/>
    <w:rsid w:val="007603CB"/>
    <w:rsid w:val="00760D4C"/>
    <w:rsid w:val="00775E17"/>
    <w:rsid w:val="00783725"/>
    <w:rsid w:val="0078420E"/>
    <w:rsid w:val="007B42F3"/>
    <w:rsid w:val="007B56FC"/>
    <w:rsid w:val="007B71E4"/>
    <w:rsid w:val="007C7FD9"/>
    <w:rsid w:val="007D2FC8"/>
    <w:rsid w:val="007D44A8"/>
    <w:rsid w:val="007E1F05"/>
    <w:rsid w:val="007E2114"/>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32449"/>
    <w:rsid w:val="00936E87"/>
    <w:rsid w:val="00943422"/>
    <w:rsid w:val="00947D7C"/>
    <w:rsid w:val="009529BE"/>
    <w:rsid w:val="00955B6D"/>
    <w:rsid w:val="00960EA8"/>
    <w:rsid w:val="0096644D"/>
    <w:rsid w:val="00995826"/>
    <w:rsid w:val="00995CEE"/>
    <w:rsid w:val="009974A1"/>
    <w:rsid w:val="009C49F4"/>
    <w:rsid w:val="009C5BF3"/>
    <w:rsid w:val="009F232C"/>
    <w:rsid w:val="009F4A59"/>
    <w:rsid w:val="009F6AB6"/>
    <w:rsid w:val="00A21C63"/>
    <w:rsid w:val="00A274C1"/>
    <w:rsid w:val="00A35DEB"/>
    <w:rsid w:val="00A775E6"/>
    <w:rsid w:val="00A91E2C"/>
    <w:rsid w:val="00A931B3"/>
    <w:rsid w:val="00AA2ECB"/>
    <w:rsid w:val="00AD15AC"/>
    <w:rsid w:val="00AE4B14"/>
    <w:rsid w:val="00B0592A"/>
    <w:rsid w:val="00B0696F"/>
    <w:rsid w:val="00B07950"/>
    <w:rsid w:val="00B11449"/>
    <w:rsid w:val="00B146AB"/>
    <w:rsid w:val="00B17597"/>
    <w:rsid w:val="00B32AAA"/>
    <w:rsid w:val="00B374C7"/>
    <w:rsid w:val="00B46A8C"/>
    <w:rsid w:val="00B472AF"/>
    <w:rsid w:val="00B8275F"/>
    <w:rsid w:val="00BA4046"/>
    <w:rsid w:val="00BB34FC"/>
    <w:rsid w:val="00BE1D43"/>
    <w:rsid w:val="00BE51FC"/>
    <w:rsid w:val="00BE6AD6"/>
    <w:rsid w:val="00BF3102"/>
    <w:rsid w:val="00C00874"/>
    <w:rsid w:val="00C1394F"/>
    <w:rsid w:val="00C32FBF"/>
    <w:rsid w:val="00C41B0E"/>
    <w:rsid w:val="00C43344"/>
    <w:rsid w:val="00C7026C"/>
    <w:rsid w:val="00C707EC"/>
    <w:rsid w:val="00C752A8"/>
    <w:rsid w:val="00C84451"/>
    <w:rsid w:val="00C92C58"/>
    <w:rsid w:val="00C9669C"/>
    <w:rsid w:val="00CA1808"/>
    <w:rsid w:val="00CC5CA9"/>
    <w:rsid w:val="00CD3B11"/>
    <w:rsid w:val="00CD5B07"/>
    <w:rsid w:val="00CE1325"/>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5F6A"/>
    <w:rsid w:val="00E17E5F"/>
    <w:rsid w:val="00E3395A"/>
    <w:rsid w:val="00E359D2"/>
    <w:rsid w:val="00E42B5C"/>
    <w:rsid w:val="00E46041"/>
    <w:rsid w:val="00E5720A"/>
    <w:rsid w:val="00E629C1"/>
    <w:rsid w:val="00E66E1B"/>
    <w:rsid w:val="00E82479"/>
    <w:rsid w:val="00E9136D"/>
    <w:rsid w:val="00E924C3"/>
    <w:rsid w:val="00E96929"/>
    <w:rsid w:val="00EA177C"/>
    <w:rsid w:val="00EB4D37"/>
    <w:rsid w:val="00EB6A7C"/>
    <w:rsid w:val="00EB73DB"/>
    <w:rsid w:val="00EC24C2"/>
    <w:rsid w:val="00EC6EB7"/>
    <w:rsid w:val="00ED41E8"/>
    <w:rsid w:val="00EF4D4D"/>
    <w:rsid w:val="00F032B9"/>
    <w:rsid w:val="00F1485C"/>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D4649"/>
    <w:rsid w:val="00FD786D"/>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121">
      <w:bodyDiv w:val="1"/>
      <w:marLeft w:val="0"/>
      <w:marRight w:val="0"/>
      <w:marTop w:val="0"/>
      <w:marBottom w:val="0"/>
      <w:divBdr>
        <w:top w:val="none" w:sz="0" w:space="0" w:color="auto"/>
        <w:left w:val="none" w:sz="0" w:space="0" w:color="auto"/>
        <w:bottom w:val="none" w:sz="0" w:space="0" w:color="auto"/>
        <w:right w:val="none" w:sz="0" w:space="0" w:color="auto"/>
      </w:divBdr>
    </w:div>
    <w:div w:id="1290627711">
      <w:bodyDiv w:val="1"/>
      <w:marLeft w:val="0"/>
      <w:marRight w:val="0"/>
      <w:marTop w:val="0"/>
      <w:marBottom w:val="0"/>
      <w:divBdr>
        <w:top w:val="none" w:sz="0" w:space="0" w:color="auto"/>
        <w:left w:val="none" w:sz="0" w:space="0" w:color="auto"/>
        <w:bottom w:val="none" w:sz="0" w:space="0" w:color="auto"/>
        <w:right w:val="none" w:sz="0" w:space="0" w:color="auto"/>
      </w:divBdr>
    </w:div>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8/3821/Norme.shtml%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AAE2-AB70-4A53-BC4D-05887294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7725</Words>
  <Characters>44039</Characters>
  <Application>Microsoft Office Word</Application>
  <DocSecurity>0</DocSecurity>
  <Lines>366</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4</cp:revision>
  <cp:lastPrinted>2019-10-04T08:12:00Z</cp:lastPrinted>
  <dcterms:created xsi:type="dcterms:W3CDTF">2019-10-04T08:10:00Z</dcterms:created>
  <dcterms:modified xsi:type="dcterms:W3CDTF">2019-10-04T08:51:00Z</dcterms:modified>
</cp:coreProperties>
</file>