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4C18B9">
        <w:rPr>
          <w:rFonts w:ascii="Pluto Sans Medium" w:eastAsia="Times" w:hAnsi="Pluto Sans Medium" w:cs="Arial"/>
          <w:i/>
          <w:color w:val="C00000"/>
          <w:spacing w:val="40"/>
          <w:sz w:val="36"/>
          <w:szCs w:val="24"/>
        </w:rPr>
        <w:t>7</w:t>
      </w:r>
      <w:r>
        <w:rPr>
          <w:rFonts w:ascii="Pluto Sans Medium" w:eastAsia="Times" w:hAnsi="Pluto Sans Medium" w:cs="Arial"/>
          <w:i/>
          <w:color w:val="C00000"/>
          <w:spacing w:val="40"/>
          <w:sz w:val="36"/>
          <w:szCs w:val="24"/>
        </w:rPr>
        <w:t>/201</w:t>
      </w:r>
      <w:r w:rsidR="004C18B9">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 xml:space="preserve">di Piacenza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4D3DCE">
        <w:rPr>
          <w:rFonts w:ascii="Pluto Sans Medium" w:hAnsi="Pluto Sans Medium" w:cs="Arial"/>
        </w:rPr>
        <w:t>7</w:t>
      </w:r>
      <w:r w:rsidR="000B3207" w:rsidRPr="00FF6557">
        <w:rPr>
          <w:rFonts w:ascii="Pluto Sans Medium" w:hAnsi="Pluto Sans Medium" w:cs="Arial"/>
        </w:rPr>
        <w:t>-201</w:t>
      </w:r>
      <w:r w:rsidR="004D3DCE">
        <w:rPr>
          <w:rFonts w:ascii="Pluto Sans Medium" w:hAnsi="Pluto Sans Medium" w:cs="Arial"/>
        </w:rPr>
        <w:t>8</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D42213" w:rsidRPr="00FF6557">
        <w:rPr>
          <w:rFonts w:ascii="Pluto Sans Medium" w:hAnsi="Pluto Sans Medium" w:cs="Arial"/>
        </w:rPr>
        <w:t>settembre</w:t>
      </w:r>
      <w:r w:rsidR="00C41B0E" w:rsidRPr="00FF6557">
        <w:rPr>
          <w:rFonts w:ascii="Pluto Sans Medium" w:hAnsi="Pluto Sans Medium" w:cs="Arial"/>
        </w:rPr>
        <w:t xml:space="preserve"> 201</w:t>
      </w:r>
      <w:r w:rsidR="004D3DCE">
        <w:rPr>
          <w:rFonts w:ascii="Pluto Sans Medium" w:hAnsi="Pluto Sans Medium" w:cs="Arial"/>
        </w:rPr>
        <w:t>7</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4D3DCE">
        <w:rPr>
          <w:rFonts w:ascii="Pluto Sans Medium" w:hAnsi="Pluto Sans Medium" w:cs="Arial"/>
        </w:rPr>
        <w:t>7</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4D3DCE">
        <w:rPr>
          <w:rFonts w:ascii="Pluto Sans Medium" w:hAnsi="Pluto Sans Medium" w:cs="Arial"/>
        </w:rPr>
        <w:t xml:space="preserve">8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4D3DCE">
        <w:rPr>
          <w:rFonts w:ascii="Pluto Sans Medium" w:hAnsi="Pluto Sans Medium" w:cs="Arial"/>
        </w:rPr>
        <w:t>8</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0B3207" w:rsidRPr="00FF6557">
        <w:rPr>
          <w:rFonts w:ascii="Pluto Sans Medium" w:hAnsi="Pluto Sans Medium" w:cs="Arial"/>
        </w:rPr>
        <w:t>L</w:t>
      </w:r>
      <w:r w:rsidR="002108A6" w:rsidRPr="00FF6557">
        <w:rPr>
          <w:rFonts w:ascii="Pluto Sans Medium" w:hAnsi="Pluto Sans Medium" w:cs="Arial"/>
        </w:rPr>
        <w:t xml:space="preserve">e Squadre sono suddivise in </w:t>
      </w:r>
      <w:r w:rsidR="00674D00">
        <w:rPr>
          <w:rFonts w:ascii="Pluto Sans Medium" w:hAnsi="Pluto Sans Medium" w:cs="Arial"/>
        </w:rPr>
        <w:t xml:space="preserve">due </w:t>
      </w:r>
      <w:r w:rsidR="00C43344">
        <w:rPr>
          <w:rFonts w:ascii="Pluto Sans Medium" w:hAnsi="Pluto Sans Medium" w:cs="Arial"/>
        </w:rPr>
        <w:t>categorie: Golden League e Silver League</w:t>
      </w:r>
      <w:r w:rsidR="00674D00">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 xml:space="preserve">Nella Finale per il titolo </w:t>
      </w:r>
      <w:r w:rsidR="00816EAA">
        <w:rPr>
          <w:rFonts w:ascii="Pluto Sans Medium" w:hAnsi="Pluto Sans Medium" w:cs="Arial"/>
        </w:rPr>
        <w:t>Apertura in caso di parità</w:t>
      </w:r>
      <w:r w:rsidRPr="00C43344">
        <w:rPr>
          <w:rFonts w:ascii="Pluto Sans Medium" w:hAnsi="Pluto Sans Medium" w:cs="Arial"/>
        </w:rPr>
        <w:t xml:space="preserve"> </w:t>
      </w:r>
      <w:r w:rsidR="00816EAA" w:rsidRPr="00816EAA">
        <w:rPr>
          <w:rFonts w:ascii="Pluto Sans Medium" w:hAnsi="Pluto Sans Medium" w:cs="Arial"/>
        </w:rPr>
        <w:t xml:space="preserve">al termine dei tempi regolamentari si procederà con due tempi supplementari della durata di 5 minuti ciascuno; in caso di ulteriore parità al termine dei tempi supplementari </w:t>
      </w:r>
      <w:r w:rsidRPr="00C43344">
        <w:rPr>
          <w:rFonts w:ascii="Pluto Sans Medium" w:hAnsi="Pluto Sans Medium" w:cs="Arial"/>
        </w:rPr>
        <w:t>si procederà con i calci di rigore.</w:t>
      </w:r>
    </w:p>
    <w:p w:rsidR="00A21C63"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I Playout vedranno impegnate l</w:t>
      </w:r>
      <w:r w:rsidR="00182A4B">
        <w:rPr>
          <w:rFonts w:ascii="Pluto Sans Medium" w:hAnsi="Pluto Sans Medium" w:cs="Arial"/>
        </w:rPr>
        <w:t>a 7</w:t>
      </w:r>
      <w:r w:rsidRPr="00A21C63">
        <w:rPr>
          <w:rFonts w:ascii="Pluto Sans Medium" w:hAnsi="Pluto Sans Medium" w:cs="Arial"/>
        </w:rPr>
        <w:t xml:space="preserve">^ e la </w:t>
      </w:r>
      <w:r w:rsidR="00182A4B">
        <w:rPr>
          <w:rFonts w:ascii="Pluto Sans Medium" w:hAnsi="Pluto Sans Medium" w:cs="Arial"/>
        </w:rPr>
        <w:t>8</w:t>
      </w:r>
      <w:r w:rsidRPr="00A21C63">
        <w:rPr>
          <w:rFonts w:ascii="Pluto Sans Medium" w:hAnsi="Pluto Sans Medium" w:cs="Arial"/>
        </w:rPr>
        <w:t xml:space="preserve">^ classificata </w:t>
      </w:r>
      <w:r w:rsidR="00816EAA" w:rsidRPr="00816EAA">
        <w:rPr>
          <w:rFonts w:ascii="Pluto Sans Medium" w:hAnsi="Pluto Sans Medium" w:cs="Arial"/>
        </w:rPr>
        <w:t xml:space="preserve">che determinerà per la vincente l’accesso alla Golden League </w:t>
      </w:r>
      <w:r w:rsidR="002A1A42">
        <w:rPr>
          <w:rFonts w:ascii="Pluto Sans Medium" w:hAnsi="Pluto Sans Medium" w:cs="Arial"/>
        </w:rPr>
        <w:t>Clausura 2018</w:t>
      </w:r>
      <w:r w:rsidR="00816EAA" w:rsidRPr="00816EAA">
        <w:rPr>
          <w:rFonts w:ascii="Pluto Sans Medium" w:hAnsi="Pluto Sans Medium" w:cs="Arial"/>
        </w:rPr>
        <w:t>. In caso di parità al termine dei tempi regolamentari risulterà vincente la squadra meglio posizionata nella Regular Season.</w:t>
      </w:r>
    </w:p>
    <w:p w:rsidR="00816EAA"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L’ultima classificata avrà titolo di partecipazione alla Silver League Clausura 2018.</w:t>
      </w:r>
    </w:p>
    <w:p w:rsidR="00816EAA" w:rsidRDefault="00816EAA" w:rsidP="00A21C63">
      <w:pPr>
        <w:widowControl w:val="0"/>
        <w:spacing w:after="120" w:line="240" w:lineRule="auto"/>
        <w:jc w:val="both"/>
        <w:rPr>
          <w:rFonts w:ascii="Pluto Sans Medium" w:hAnsi="Pluto Sans Medium" w:cs="Arial"/>
        </w:rPr>
      </w:pPr>
    </w:p>
    <w:p w:rsidR="00A21C63" w:rsidRP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t>Per la</w:t>
      </w:r>
      <w:r w:rsidRPr="00A21C63">
        <w:rPr>
          <w:rFonts w:ascii="Pluto Sans Medium" w:hAnsi="Pluto Sans Medium" w:cs="Arial"/>
        </w:rPr>
        <w:t xml:space="preserve"> Silver League </w:t>
      </w:r>
      <w:r>
        <w:rPr>
          <w:rFonts w:ascii="Pluto Sans Medium" w:hAnsi="Pluto Sans Medium" w:cs="Arial"/>
        </w:rPr>
        <w:t>Apertura 2017 verranno determinati tramite Sorteggio due gironi.</w:t>
      </w:r>
    </w:p>
    <w:p w:rsidR="00A21C63" w:rsidRPr="00A21C63"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Hanno titolo di partecipazione agli spareggi per la promozione alla categoria Golden League Clausura 2018 le squadre classificate nella Regular Se</w:t>
      </w:r>
      <w:r w:rsidR="00816EAA">
        <w:rPr>
          <w:rFonts w:ascii="Pluto Sans Medium" w:hAnsi="Pluto Sans Medium" w:cs="Arial"/>
        </w:rPr>
        <w:t>ason dalla 1^ alla 4^ posizione</w:t>
      </w:r>
      <w:r>
        <w:rPr>
          <w:rFonts w:ascii="Pluto Sans Medium" w:hAnsi="Pluto Sans Medium" w:cs="Arial"/>
        </w:rPr>
        <w:t>.</w:t>
      </w:r>
    </w:p>
    <w:p w:rsidR="00A21C63" w:rsidRP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t>1^ Fase: t</w:t>
      </w:r>
      <w:r w:rsidRPr="00A21C63">
        <w:rPr>
          <w:rFonts w:ascii="Pluto Sans Medium" w:hAnsi="Pluto Sans Medium" w:cs="Arial"/>
        </w:rPr>
        <w:t>urno preliminare tra le 3^ e le 4^ classificate</w:t>
      </w:r>
      <w:r>
        <w:rPr>
          <w:rFonts w:ascii="Pluto Sans Medium" w:hAnsi="Pluto Sans Medium" w:cs="Arial"/>
        </w:rPr>
        <w:t>.</w:t>
      </w:r>
    </w:p>
    <w:p w:rsidR="00A21C63" w:rsidRP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t xml:space="preserve">2^ Fase: </w:t>
      </w:r>
      <w:r w:rsidRPr="00A21C63">
        <w:rPr>
          <w:rFonts w:ascii="Pluto Sans Medium" w:hAnsi="Pluto Sans Medium" w:cs="Arial"/>
        </w:rPr>
        <w:t>le vincenti affronteranno le 2^ classificate.</w:t>
      </w:r>
    </w:p>
    <w:p w:rsid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lastRenderedPageBreak/>
        <w:t xml:space="preserve">3^ Fase: </w:t>
      </w:r>
      <w:r w:rsidRPr="00A21C63">
        <w:rPr>
          <w:rFonts w:ascii="Pluto Sans Medium" w:hAnsi="Pluto Sans Medium" w:cs="Arial"/>
        </w:rPr>
        <w:t>le vincenti affronteranno le 1^ classificate.</w:t>
      </w:r>
      <w:r>
        <w:rPr>
          <w:rFonts w:ascii="Pluto Sans Medium" w:hAnsi="Pluto Sans Medium" w:cs="Arial"/>
        </w:rPr>
        <w:t xml:space="preserve"> </w:t>
      </w:r>
      <w:r w:rsidR="00E3395A" w:rsidRPr="005F7C7D">
        <w:rPr>
          <w:rFonts w:ascii="Pluto Sans Medium" w:hAnsi="Pluto Sans Medium" w:cs="Arial"/>
        </w:rPr>
        <w:t xml:space="preserve">Le vincenti di ogni singolo accoppiamento saranno qualificate alla Golden League </w:t>
      </w:r>
      <w:r w:rsidR="00760D4C">
        <w:rPr>
          <w:rFonts w:ascii="Pluto Sans Medium" w:hAnsi="Pluto Sans Medium" w:cs="Arial"/>
        </w:rPr>
        <w:t>Clausura</w:t>
      </w:r>
      <w:r w:rsidR="00E3395A" w:rsidRPr="005F7C7D">
        <w:rPr>
          <w:rFonts w:ascii="Pluto Sans Medium" w:hAnsi="Pluto Sans Medium" w:cs="Arial"/>
        </w:rPr>
        <w:t xml:space="preserve"> 201</w:t>
      </w:r>
      <w:r w:rsidR="004D3DCE">
        <w:rPr>
          <w:rFonts w:ascii="Pluto Sans Medium" w:hAnsi="Pluto Sans Medium" w:cs="Arial"/>
        </w:rPr>
        <w:t>8</w:t>
      </w:r>
      <w:r w:rsidR="00E3395A" w:rsidRPr="005F7C7D">
        <w:rPr>
          <w:rFonts w:ascii="Pluto Sans Medium" w:hAnsi="Pluto Sans Medium" w:cs="Arial"/>
        </w:rPr>
        <w:t>.</w:t>
      </w:r>
    </w:p>
    <w:p w:rsidR="00A21C63" w:rsidRDefault="00816EAA" w:rsidP="00A21C63">
      <w:pPr>
        <w:widowControl w:val="0"/>
        <w:spacing w:after="120" w:line="240" w:lineRule="auto"/>
        <w:jc w:val="both"/>
        <w:rPr>
          <w:rFonts w:ascii="Pluto Sans Medium" w:hAnsi="Pluto Sans Medium" w:cs="Arial"/>
        </w:rPr>
      </w:pPr>
      <w:r>
        <w:rPr>
          <w:rFonts w:ascii="Pluto Sans Medium" w:hAnsi="Pluto Sans Medium" w:cs="Arial"/>
        </w:rPr>
        <w:t>Nelle prime due fasi</w:t>
      </w:r>
      <w:r w:rsidRPr="00816EAA">
        <w:rPr>
          <w:rFonts w:ascii="Pluto Sans Medium" w:hAnsi="Pluto Sans Medium" w:cs="Arial"/>
        </w:rPr>
        <w:t xml:space="preserve"> in caso di parità al termine dei tempi regolamentari </w:t>
      </w:r>
      <w:r>
        <w:rPr>
          <w:rFonts w:ascii="Pluto Sans Medium" w:hAnsi="Pluto Sans Medium" w:cs="Arial"/>
        </w:rPr>
        <w:t xml:space="preserve">risulterà vincente </w:t>
      </w:r>
      <w:r w:rsidRPr="00816EAA">
        <w:rPr>
          <w:rFonts w:ascii="Pluto Sans Medium" w:hAnsi="Pluto Sans Medium" w:cs="Arial"/>
        </w:rPr>
        <w:t>la squadra meglio posizionata nella Regular Season</w:t>
      </w:r>
      <w:r>
        <w:rPr>
          <w:rFonts w:ascii="Pluto Sans Medium" w:hAnsi="Pluto Sans Medium" w:cs="Arial"/>
        </w:rPr>
        <w:t xml:space="preserve">. Nella terza fase in caso di parità </w:t>
      </w:r>
      <w:r w:rsidRPr="00816EAA">
        <w:rPr>
          <w:rFonts w:ascii="Pluto Sans Medium" w:hAnsi="Pluto Sans Medium" w:cs="Arial"/>
        </w:rPr>
        <w:t>al termine dei tempi regolamentari si procederà con i calci di rigore.</w:t>
      </w:r>
    </w:p>
    <w:p w:rsidR="00F102E8" w:rsidRPr="00F102E8" w:rsidRDefault="00B0592A" w:rsidP="00F102E8">
      <w:pPr>
        <w:widowControl w:val="0"/>
        <w:spacing w:after="120" w:line="240" w:lineRule="auto"/>
        <w:jc w:val="both"/>
        <w:rPr>
          <w:rFonts w:ascii="Pluto Sans Medium" w:hAnsi="Pluto Sans Medium" w:cs="Arial"/>
        </w:rPr>
      </w:pPr>
      <w:r>
        <w:rPr>
          <w:rFonts w:ascii="Pluto Sans Medium" w:hAnsi="Pluto Sans Medium" w:cs="Arial"/>
        </w:rPr>
        <w:t>Per i</w:t>
      </w:r>
      <w:r w:rsidR="00DA419D">
        <w:rPr>
          <w:rFonts w:ascii="Pluto Sans Medium" w:hAnsi="Pluto Sans Medium" w:cs="Arial"/>
        </w:rPr>
        <w:t>l</w:t>
      </w:r>
      <w:r>
        <w:rPr>
          <w:rFonts w:ascii="Pluto Sans Medium" w:hAnsi="Pluto Sans Medium" w:cs="Arial"/>
        </w:rPr>
        <w:t xml:space="preserve"> Torne</w:t>
      </w:r>
      <w:r w:rsidR="00DA419D">
        <w:rPr>
          <w:rFonts w:ascii="Pluto Sans Medium" w:hAnsi="Pluto Sans Medium" w:cs="Arial"/>
        </w:rPr>
        <w:t>o</w:t>
      </w:r>
      <w:r>
        <w:rPr>
          <w:rFonts w:ascii="Pluto Sans Medium" w:hAnsi="Pluto Sans Medium" w:cs="Arial"/>
        </w:rPr>
        <w:t xml:space="preserve"> Golden Clausura 2018 </w:t>
      </w:r>
      <w:r w:rsidR="00F102E8">
        <w:rPr>
          <w:rFonts w:ascii="Pluto Sans Medium" w:hAnsi="Pluto Sans Medium" w:cs="Arial"/>
        </w:rPr>
        <w:t>l</w:t>
      </w:r>
      <w:r w:rsidR="00F102E8" w:rsidRPr="00F102E8">
        <w:rPr>
          <w:rFonts w:ascii="Pluto Sans Medium" w:hAnsi="Pluto Sans Medium" w:cs="Arial"/>
        </w:rPr>
        <w:t xml:space="preserve">e prime sei classificate nella Golden League </w:t>
      </w:r>
      <w:r w:rsidR="00F102E8">
        <w:rPr>
          <w:rFonts w:ascii="Pluto Sans Medium" w:hAnsi="Pluto Sans Medium" w:cs="Arial"/>
        </w:rPr>
        <w:t>Clausura 2018</w:t>
      </w:r>
      <w:r w:rsidR="00F102E8" w:rsidRPr="00F102E8">
        <w:rPr>
          <w:rFonts w:ascii="Pluto Sans Medium" w:hAnsi="Pluto Sans Medium" w:cs="Arial"/>
        </w:rPr>
        <w:t xml:space="preserve"> saranno qualificate  ai Playoff validi per il Titolo </w:t>
      </w:r>
      <w:r w:rsidR="00F102E8">
        <w:rPr>
          <w:rFonts w:ascii="Pluto Sans Medium" w:hAnsi="Pluto Sans Medium" w:cs="Arial"/>
        </w:rPr>
        <w:t>Clausura</w:t>
      </w:r>
      <w:r w:rsidR="00F102E8" w:rsidRPr="00F102E8">
        <w:rPr>
          <w:rFonts w:ascii="Pluto Sans Medium" w:hAnsi="Pluto Sans Medium" w:cs="Arial"/>
        </w:rPr>
        <w:t xml:space="preserve">. Le prime due squadre classificate saranno matematicamente qualificate alle Semifinali, mentre le altre si giocheranno due fasi di  spareggi. Nella prima fase si incroceranno: </w:t>
      </w:r>
    </w:p>
    <w:p w:rsidR="00F102E8" w:rsidRPr="00F102E8" w:rsidRDefault="00F102E8" w:rsidP="00F102E8">
      <w:pPr>
        <w:widowControl w:val="0"/>
        <w:spacing w:after="120" w:line="240" w:lineRule="auto"/>
        <w:jc w:val="both"/>
        <w:rPr>
          <w:rFonts w:ascii="Pluto Sans Medium" w:hAnsi="Pluto Sans Medium" w:cs="Arial"/>
        </w:rPr>
      </w:pPr>
      <w:r w:rsidRPr="00F102E8">
        <w:rPr>
          <w:rFonts w:ascii="Pluto Sans Medium" w:hAnsi="Pluto Sans Medium" w:cs="Arial"/>
        </w:rPr>
        <w:t>3^ classificata - 6^ classificata,</w:t>
      </w:r>
    </w:p>
    <w:p w:rsidR="00F102E8" w:rsidRPr="00F102E8" w:rsidRDefault="00F102E8" w:rsidP="00F102E8">
      <w:pPr>
        <w:widowControl w:val="0"/>
        <w:spacing w:after="120" w:line="240" w:lineRule="auto"/>
        <w:jc w:val="both"/>
        <w:rPr>
          <w:rFonts w:ascii="Pluto Sans Medium" w:hAnsi="Pluto Sans Medium" w:cs="Arial"/>
        </w:rPr>
      </w:pPr>
      <w:r w:rsidRPr="00F102E8">
        <w:rPr>
          <w:rFonts w:ascii="Pluto Sans Medium" w:hAnsi="Pluto Sans Medium" w:cs="Arial"/>
        </w:rPr>
        <w:t xml:space="preserve">4^ classificata - 5^ classificata. </w:t>
      </w:r>
    </w:p>
    <w:p w:rsidR="00F102E8" w:rsidRPr="00F102E8" w:rsidRDefault="00F102E8" w:rsidP="00F102E8">
      <w:pPr>
        <w:widowControl w:val="0"/>
        <w:spacing w:after="120" w:line="240" w:lineRule="auto"/>
        <w:jc w:val="both"/>
        <w:rPr>
          <w:rFonts w:ascii="Pluto Sans Medium" w:hAnsi="Pluto Sans Medium" w:cs="Arial"/>
        </w:rPr>
      </w:pPr>
      <w:r w:rsidRPr="00F102E8">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F102E8" w:rsidRDefault="00F102E8" w:rsidP="00F102E8">
      <w:pPr>
        <w:widowControl w:val="0"/>
        <w:spacing w:after="120" w:line="240" w:lineRule="auto"/>
        <w:jc w:val="both"/>
        <w:rPr>
          <w:rFonts w:ascii="Pluto Sans Medium" w:hAnsi="Pluto Sans Medium" w:cs="Arial"/>
        </w:rPr>
      </w:pPr>
      <w:r w:rsidRPr="00F102E8">
        <w:rPr>
          <w:rFonts w:ascii="Pluto Sans Medium" w:hAnsi="Pluto Sans Medium" w:cs="Arial"/>
        </w:rPr>
        <w:t xml:space="preserve">Nella Finale per il titolo </w:t>
      </w:r>
      <w:r>
        <w:rPr>
          <w:rFonts w:ascii="Pluto Sans Medium" w:hAnsi="Pluto Sans Medium" w:cs="Arial"/>
        </w:rPr>
        <w:t>Clausura</w:t>
      </w:r>
      <w:r w:rsidRPr="00F102E8">
        <w:rPr>
          <w:rFonts w:ascii="Pluto Sans Medium" w:hAnsi="Pluto Sans Medium" w:cs="Arial"/>
        </w:rPr>
        <w:t xml:space="preserve"> in caso di parità al termine dei tempi regolamentari si procederà con due tempi supplementari della durata di 5 minuti ciascuno; in caso di ulteriore parità al termine dei tempi supplementari si procederà con i calci di rigore.</w:t>
      </w:r>
    </w:p>
    <w:p w:rsidR="00DA419D" w:rsidRDefault="00B33785" w:rsidP="00B33785">
      <w:pPr>
        <w:widowControl w:val="0"/>
        <w:spacing w:after="120" w:line="240" w:lineRule="auto"/>
        <w:jc w:val="both"/>
        <w:rPr>
          <w:rFonts w:ascii="Pluto Sans Medium" w:hAnsi="Pluto Sans Medium" w:cs="Arial"/>
        </w:rPr>
      </w:pPr>
      <w:r w:rsidRPr="00B33785">
        <w:rPr>
          <w:rFonts w:ascii="Pluto Sans Medium" w:hAnsi="Pluto Sans Medium" w:cs="Arial"/>
        </w:rPr>
        <w:t xml:space="preserve">I Playout vedranno impegnate la </w:t>
      </w:r>
      <w:r>
        <w:rPr>
          <w:rFonts w:ascii="Pluto Sans Medium" w:hAnsi="Pluto Sans Medium" w:cs="Arial"/>
        </w:rPr>
        <w:t>8</w:t>
      </w:r>
      <w:r w:rsidRPr="00B33785">
        <w:rPr>
          <w:rFonts w:ascii="Pluto Sans Medium" w:hAnsi="Pluto Sans Medium" w:cs="Arial"/>
        </w:rPr>
        <w:t xml:space="preserve">^ e la </w:t>
      </w:r>
      <w:r>
        <w:rPr>
          <w:rFonts w:ascii="Pluto Sans Medium" w:hAnsi="Pluto Sans Medium" w:cs="Arial"/>
        </w:rPr>
        <w:t>9</w:t>
      </w:r>
      <w:r w:rsidRPr="00B33785">
        <w:rPr>
          <w:rFonts w:ascii="Pluto Sans Medium" w:hAnsi="Pluto Sans Medium" w:cs="Arial"/>
        </w:rPr>
        <w:t>^ classificata che determinerà per la vincente l’accesso alla Golden League Clausura 2018. In caso di parità al termine dei tempi regolamentari risulterà vincente la squadra meglio posizionata nella Regular Season.</w:t>
      </w:r>
      <w:r w:rsidRPr="00B33785">
        <w:rPr>
          <w:rFonts w:ascii="Pluto Sans Medium" w:hAnsi="Pluto Sans Medium" w:cs="Arial"/>
        </w:rPr>
        <w:cr/>
        <w:t xml:space="preserve">L’ultima classificata </w:t>
      </w:r>
      <w:r>
        <w:rPr>
          <w:rFonts w:ascii="Pluto Sans Medium" w:hAnsi="Pluto Sans Medium" w:cs="Arial"/>
        </w:rPr>
        <w:t xml:space="preserve">della </w:t>
      </w:r>
      <w:r w:rsidRPr="00B33785">
        <w:rPr>
          <w:rFonts w:ascii="Pluto Sans Medium" w:hAnsi="Pluto Sans Medium" w:cs="Arial"/>
        </w:rPr>
        <w:t xml:space="preserve">Golden Clausura 2018 </w:t>
      </w:r>
      <w:r w:rsidRPr="00B33785">
        <w:rPr>
          <w:rFonts w:ascii="Pluto Sans Medium" w:hAnsi="Pluto Sans Medium" w:cs="Arial"/>
        </w:rPr>
        <w:t>avrà titolo di partecipazione alla Silver League Clausura 2018.</w:t>
      </w:r>
    </w:p>
    <w:p w:rsidR="00DA419D" w:rsidRDefault="00DA419D" w:rsidP="00DA419D">
      <w:pPr>
        <w:widowControl w:val="0"/>
        <w:spacing w:after="120" w:line="240" w:lineRule="auto"/>
        <w:jc w:val="both"/>
        <w:rPr>
          <w:rFonts w:ascii="Pluto Sans Medium" w:hAnsi="Pluto Sans Medium" w:cs="Arial"/>
        </w:rPr>
      </w:pPr>
      <w:r>
        <w:rPr>
          <w:rFonts w:ascii="Pluto Sans Medium" w:hAnsi="Pluto Sans Medium" w:cs="Arial"/>
        </w:rPr>
        <w:t>Le 1^ classificate dei due gironi di Regular Season della Silver League Clausura 2018 saranno qualificate alla Golden League Apertura 2018. P</w:t>
      </w:r>
      <w:r w:rsidR="00B0592A">
        <w:rPr>
          <w:rFonts w:ascii="Pluto Sans Medium" w:hAnsi="Pluto Sans Medium" w:cs="Arial"/>
        </w:rPr>
        <w:t>e</w:t>
      </w:r>
      <w:r>
        <w:rPr>
          <w:rFonts w:ascii="Pluto Sans Medium" w:hAnsi="Pluto Sans Medium" w:cs="Arial"/>
        </w:rPr>
        <w:t>r un ulteriore accesso alla</w:t>
      </w:r>
      <w:r w:rsidR="00B0592A">
        <w:rPr>
          <w:rFonts w:ascii="Pluto Sans Medium" w:hAnsi="Pluto Sans Medium" w:cs="Arial"/>
        </w:rPr>
        <w:t xml:space="preserve"> </w:t>
      </w:r>
      <w:r>
        <w:rPr>
          <w:rFonts w:ascii="Pluto Sans Medium" w:hAnsi="Pluto Sans Medium" w:cs="Arial"/>
        </w:rPr>
        <w:t>Golden</w:t>
      </w:r>
      <w:r w:rsidR="00B0592A">
        <w:rPr>
          <w:rFonts w:ascii="Pluto Sans Medium" w:hAnsi="Pluto Sans Medium" w:cs="Arial"/>
        </w:rPr>
        <w:t xml:space="preserve"> League Clausura 2018 </w:t>
      </w:r>
      <w:r>
        <w:rPr>
          <w:rFonts w:ascii="Pluto Sans Medium" w:hAnsi="Pluto Sans Medium" w:cs="Arial"/>
        </w:rPr>
        <w:t xml:space="preserve">inoltre saranno qualificate </w:t>
      </w:r>
      <w:r w:rsidR="00F102E8">
        <w:rPr>
          <w:rFonts w:ascii="Pluto Sans Medium" w:hAnsi="Pluto Sans Medium" w:cs="Arial"/>
        </w:rPr>
        <w:t>le squadre classificate</w:t>
      </w:r>
      <w:r w:rsidR="00B33785">
        <w:rPr>
          <w:rFonts w:ascii="Pluto Sans Medium" w:hAnsi="Pluto Sans Medium" w:cs="Arial"/>
        </w:rPr>
        <w:t xml:space="preserve"> dalla</w:t>
      </w:r>
      <w:r>
        <w:rPr>
          <w:rFonts w:ascii="Pluto Sans Medium" w:hAnsi="Pluto Sans Medium" w:cs="Arial"/>
        </w:rPr>
        <w:t xml:space="preserve"> 2</w:t>
      </w:r>
      <w:r w:rsidR="00B33785">
        <w:rPr>
          <w:rFonts w:ascii="Pluto Sans Medium" w:hAnsi="Pluto Sans Medium" w:cs="Arial"/>
        </w:rPr>
        <w:t>^ alla</w:t>
      </w:r>
      <w:r>
        <w:rPr>
          <w:rFonts w:ascii="Pluto Sans Medium" w:hAnsi="Pluto Sans Medium" w:cs="Arial"/>
        </w:rPr>
        <w:t xml:space="preserve"> 5^ </w:t>
      </w:r>
      <w:r w:rsidR="00F102E8">
        <w:rPr>
          <w:rFonts w:ascii="Pluto Sans Medium" w:hAnsi="Pluto Sans Medium" w:cs="Arial"/>
        </w:rPr>
        <w:t>posizione</w:t>
      </w:r>
      <w:bookmarkStart w:id="0" w:name="_GoBack"/>
      <w:bookmarkEnd w:id="0"/>
      <w:r>
        <w:rPr>
          <w:rFonts w:ascii="Pluto Sans Medium" w:hAnsi="Pluto Sans Medium" w:cs="Arial"/>
        </w:rPr>
        <w:t xml:space="preserve"> di ogni girone di Silver League. </w:t>
      </w:r>
      <w:r w:rsidR="00B33785">
        <w:rPr>
          <w:rFonts w:ascii="Pluto Sans Medium" w:hAnsi="Pluto Sans Medium" w:cs="Arial"/>
        </w:rPr>
        <w:t>Con il seguente tabellone</w:t>
      </w:r>
      <w:r w:rsidR="00AB3EDE">
        <w:rPr>
          <w:rFonts w:ascii="Pluto Sans Medium" w:hAnsi="Pluto Sans Medium" w:cs="Arial"/>
        </w:rPr>
        <w:t xml:space="preserve"> </w:t>
      </w:r>
      <w:r w:rsidR="00AB3EDE" w:rsidRPr="00AB3EDE">
        <w:rPr>
          <w:rFonts w:ascii="Pluto Sans Medium" w:hAnsi="Pluto Sans Medium" w:cs="Arial"/>
          <w:u w:val="single"/>
        </w:rPr>
        <w:t>(Nelle prime due fasi in caso di parità al termine dei tempi regolamentari risulterà vincente la squadra meglio posizionata nella Regular Season. Nella finale in caso di parità al termine dei tempi regolamentari si procederà con i calci di rigore</w:t>
      </w:r>
      <w:r w:rsidR="00AB3EDE">
        <w:rPr>
          <w:rFonts w:ascii="Pluto Sans Medium" w:hAnsi="Pluto Sans Medium" w:cs="Arial"/>
        </w:rPr>
        <w:t>)</w:t>
      </w:r>
      <w:r w:rsidR="00B33785">
        <w:rPr>
          <w:rFonts w:ascii="Pluto Sans Medium" w:hAnsi="Pluto Sans Medium" w:cs="Arial"/>
        </w:rPr>
        <w:t>:</w:t>
      </w:r>
    </w:p>
    <w:p w:rsidR="00B33785" w:rsidRDefault="00B33785" w:rsidP="00DA419D">
      <w:pPr>
        <w:widowControl w:val="0"/>
        <w:spacing w:after="120" w:line="240" w:lineRule="auto"/>
        <w:jc w:val="both"/>
        <w:rPr>
          <w:rFonts w:ascii="Pluto Sans Medium" w:hAnsi="Pluto Sans Medium" w:cs="Arial"/>
        </w:rPr>
      </w:pPr>
      <w:r>
        <w:rPr>
          <w:rFonts w:ascii="Pluto Sans Medium" w:hAnsi="Pluto Sans Medium" w:cs="Arial"/>
          <w:highlight w:val="yellow"/>
        </w:rPr>
        <w:t>QUARTI</w:t>
      </w:r>
      <w:r w:rsidRPr="00B33785">
        <w:rPr>
          <w:rFonts w:ascii="Pluto Sans Medium" w:hAnsi="Pluto Sans Medium" w:cs="Arial"/>
          <w:highlight w:val="yellow"/>
        </w:rPr>
        <w:t>:</w:t>
      </w:r>
      <w:r>
        <w:rPr>
          <w:rFonts w:ascii="Pluto Sans Medium" w:hAnsi="Pluto Sans Medium" w:cs="Arial"/>
        </w:rPr>
        <w:t xml:space="preserve"> </w:t>
      </w:r>
      <w:r>
        <w:rPr>
          <w:rFonts w:ascii="Pluto Sans Medium" w:hAnsi="Pluto Sans Medium" w:cs="Arial"/>
        </w:rPr>
        <w:tab/>
      </w:r>
      <w:r>
        <w:rPr>
          <w:rFonts w:ascii="Pluto Sans Medium" w:hAnsi="Pluto Sans Medium" w:cs="Arial"/>
        </w:rPr>
        <w:tab/>
        <w:t>GARA 1: 2^ Girone A – 5^ Girone B</w:t>
      </w:r>
    </w:p>
    <w:p w:rsidR="00B33785" w:rsidRDefault="00B33785" w:rsidP="00DA419D">
      <w:pPr>
        <w:widowControl w:val="0"/>
        <w:spacing w:after="120" w:line="240" w:lineRule="auto"/>
        <w:jc w:val="both"/>
        <w:rPr>
          <w:rFonts w:ascii="Pluto Sans Medium" w:hAnsi="Pluto Sans Medium" w:cs="Arial"/>
        </w:rPr>
      </w:pPr>
      <w:r>
        <w:rPr>
          <w:rFonts w:ascii="Pluto Sans Medium" w:hAnsi="Pluto Sans Medium" w:cs="Arial"/>
        </w:rPr>
        <w:tab/>
      </w:r>
      <w:r>
        <w:rPr>
          <w:rFonts w:ascii="Pluto Sans Medium" w:hAnsi="Pluto Sans Medium" w:cs="Arial"/>
        </w:rPr>
        <w:tab/>
      </w:r>
      <w:r>
        <w:rPr>
          <w:rFonts w:ascii="Pluto Sans Medium" w:hAnsi="Pluto Sans Medium" w:cs="Arial"/>
        </w:rPr>
        <w:tab/>
        <w:t>GARA 2: 3^ Girone B – 4^ Girone A</w:t>
      </w:r>
    </w:p>
    <w:p w:rsidR="00B33785" w:rsidRDefault="00B33785" w:rsidP="00DA419D">
      <w:pPr>
        <w:widowControl w:val="0"/>
        <w:spacing w:after="120" w:line="240" w:lineRule="auto"/>
        <w:jc w:val="both"/>
        <w:rPr>
          <w:rFonts w:ascii="Pluto Sans Medium" w:hAnsi="Pluto Sans Medium" w:cs="Arial"/>
        </w:rPr>
      </w:pPr>
      <w:r>
        <w:rPr>
          <w:rFonts w:ascii="Pluto Sans Medium" w:hAnsi="Pluto Sans Medium" w:cs="Arial"/>
        </w:rPr>
        <w:tab/>
      </w:r>
      <w:r>
        <w:rPr>
          <w:rFonts w:ascii="Pluto Sans Medium" w:hAnsi="Pluto Sans Medium" w:cs="Arial"/>
        </w:rPr>
        <w:tab/>
      </w:r>
      <w:r>
        <w:rPr>
          <w:rFonts w:ascii="Pluto Sans Medium" w:hAnsi="Pluto Sans Medium" w:cs="Arial"/>
        </w:rPr>
        <w:tab/>
        <w:t>GARA 3: 3^ Girone A – 4^ Girone B</w:t>
      </w:r>
    </w:p>
    <w:p w:rsidR="00B33785" w:rsidRDefault="00B33785" w:rsidP="00DA419D">
      <w:pPr>
        <w:widowControl w:val="0"/>
        <w:spacing w:after="120" w:line="240" w:lineRule="auto"/>
        <w:jc w:val="both"/>
        <w:rPr>
          <w:rFonts w:ascii="Pluto Sans Medium" w:hAnsi="Pluto Sans Medium" w:cs="Arial"/>
        </w:rPr>
      </w:pPr>
      <w:r>
        <w:rPr>
          <w:rFonts w:ascii="Pluto Sans Medium" w:hAnsi="Pluto Sans Medium" w:cs="Arial"/>
        </w:rPr>
        <w:tab/>
      </w:r>
      <w:r>
        <w:rPr>
          <w:rFonts w:ascii="Pluto Sans Medium" w:hAnsi="Pluto Sans Medium" w:cs="Arial"/>
        </w:rPr>
        <w:tab/>
      </w:r>
      <w:r>
        <w:rPr>
          <w:rFonts w:ascii="Pluto Sans Medium" w:hAnsi="Pluto Sans Medium" w:cs="Arial"/>
        </w:rPr>
        <w:tab/>
        <w:t>GARA 4: 2^ Girone B – 5^ Girone A</w:t>
      </w:r>
    </w:p>
    <w:p w:rsidR="00B33785" w:rsidRDefault="00B33785" w:rsidP="00DA419D">
      <w:pPr>
        <w:widowControl w:val="0"/>
        <w:spacing w:after="120" w:line="240" w:lineRule="auto"/>
        <w:jc w:val="both"/>
        <w:rPr>
          <w:rFonts w:ascii="Pluto Sans Medium" w:hAnsi="Pluto Sans Medium" w:cs="Arial"/>
        </w:rPr>
      </w:pPr>
    </w:p>
    <w:p w:rsidR="00B33785" w:rsidRDefault="00B33785" w:rsidP="00DA419D">
      <w:pPr>
        <w:widowControl w:val="0"/>
        <w:spacing w:after="120" w:line="240" w:lineRule="auto"/>
        <w:jc w:val="both"/>
        <w:rPr>
          <w:rFonts w:ascii="Pluto Sans Medium" w:hAnsi="Pluto Sans Medium" w:cs="Arial"/>
        </w:rPr>
      </w:pPr>
      <w:r w:rsidRPr="00B33785">
        <w:rPr>
          <w:rFonts w:ascii="Pluto Sans Medium" w:hAnsi="Pluto Sans Medium" w:cs="Arial"/>
          <w:highlight w:val="yellow"/>
        </w:rPr>
        <w:t>SEMIFINALI:</w:t>
      </w:r>
      <w:r>
        <w:rPr>
          <w:rFonts w:ascii="Pluto Sans Medium" w:hAnsi="Pluto Sans Medium" w:cs="Arial"/>
        </w:rPr>
        <w:t xml:space="preserve"> </w:t>
      </w:r>
      <w:r>
        <w:rPr>
          <w:rFonts w:ascii="Pluto Sans Medium" w:hAnsi="Pluto Sans Medium" w:cs="Arial"/>
        </w:rPr>
        <w:tab/>
        <w:t xml:space="preserve">GARA 5: </w:t>
      </w:r>
      <w:proofErr w:type="spellStart"/>
      <w:r>
        <w:rPr>
          <w:rFonts w:ascii="Pluto Sans Medium" w:hAnsi="Pluto Sans Medium" w:cs="Arial"/>
        </w:rPr>
        <w:t>vinc</w:t>
      </w:r>
      <w:proofErr w:type="spellEnd"/>
      <w:r>
        <w:rPr>
          <w:rFonts w:ascii="Pluto Sans Medium" w:hAnsi="Pluto Sans Medium" w:cs="Arial"/>
        </w:rPr>
        <w:t xml:space="preserve">. Gara 1 – </w:t>
      </w:r>
      <w:proofErr w:type="spellStart"/>
      <w:r>
        <w:rPr>
          <w:rFonts w:ascii="Pluto Sans Medium" w:hAnsi="Pluto Sans Medium" w:cs="Arial"/>
        </w:rPr>
        <w:t>vinc</w:t>
      </w:r>
      <w:proofErr w:type="spellEnd"/>
      <w:r>
        <w:rPr>
          <w:rFonts w:ascii="Pluto Sans Medium" w:hAnsi="Pluto Sans Medium" w:cs="Arial"/>
        </w:rPr>
        <w:t>. Gara 2</w:t>
      </w:r>
    </w:p>
    <w:p w:rsidR="00B33785" w:rsidRDefault="00B33785" w:rsidP="00DA419D">
      <w:pPr>
        <w:widowControl w:val="0"/>
        <w:spacing w:after="120" w:line="240" w:lineRule="auto"/>
        <w:jc w:val="both"/>
        <w:rPr>
          <w:rFonts w:ascii="Pluto Sans Medium" w:hAnsi="Pluto Sans Medium" w:cs="Arial"/>
        </w:rPr>
      </w:pPr>
      <w:r>
        <w:rPr>
          <w:rFonts w:ascii="Pluto Sans Medium" w:hAnsi="Pluto Sans Medium" w:cs="Arial"/>
        </w:rPr>
        <w:tab/>
      </w:r>
      <w:r>
        <w:rPr>
          <w:rFonts w:ascii="Pluto Sans Medium" w:hAnsi="Pluto Sans Medium" w:cs="Arial"/>
        </w:rPr>
        <w:tab/>
      </w:r>
      <w:r>
        <w:rPr>
          <w:rFonts w:ascii="Pluto Sans Medium" w:hAnsi="Pluto Sans Medium" w:cs="Arial"/>
        </w:rPr>
        <w:tab/>
        <w:t xml:space="preserve">GARA 6 </w:t>
      </w:r>
      <w:proofErr w:type="spellStart"/>
      <w:r>
        <w:rPr>
          <w:rFonts w:ascii="Pluto Sans Medium" w:hAnsi="Pluto Sans Medium" w:cs="Arial"/>
        </w:rPr>
        <w:t>vinc</w:t>
      </w:r>
      <w:proofErr w:type="spellEnd"/>
      <w:r>
        <w:rPr>
          <w:rFonts w:ascii="Pluto Sans Medium" w:hAnsi="Pluto Sans Medium" w:cs="Arial"/>
        </w:rPr>
        <w:t xml:space="preserve">. Gara 3 – </w:t>
      </w:r>
      <w:proofErr w:type="spellStart"/>
      <w:r>
        <w:rPr>
          <w:rFonts w:ascii="Pluto Sans Medium" w:hAnsi="Pluto Sans Medium" w:cs="Arial"/>
        </w:rPr>
        <w:t>vinc</w:t>
      </w:r>
      <w:proofErr w:type="spellEnd"/>
      <w:r>
        <w:rPr>
          <w:rFonts w:ascii="Pluto Sans Medium" w:hAnsi="Pluto Sans Medium" w:cs="Arial"/>
        </w:rPr>
        <w:t>. Gara 4</w:t>
      </w:r>
    </w:p>
    <w:p w:rsidR="00B33785" w:rsidRDefault="00B33785" w:rsidP="00DA419D">
      <w:pPr>
        <w:widowControl w:val="0"/>
        <w:spacing w:after="120" w:line="240" w:lineRule="auto"/>
        <w:jc w:val="both"/>
        <w:rPr>
          <w:rFonts w:ascii="Pluto Sans Medium" w:hAnsi="Pluto Sans Medium" w:cs="Arial"/>
        </w:rPr>
      </w:pPr>
    </w:p>
    <w:p w:rsidR="00B33785" w:rsidRDefault="00B33785" w:rsidP="00DA419D">
      <w:pPr>
        <w:widowControl w:val="0"/>
        <w:spacing w:after="120" w:line="240" w:lineRule="auto"/>
        <w:jc w:val="both"/>
        <w:rPr>
          <w:rFonts w:ascii="Pluto Sans Medium" w:hAnsi="Pluto Sans Medium" w:cs="Arial"/>
        </w:rPr>
      </w:pPr>
      <w:r w:rsidRPr="00B33785">
        <w:rPr>
          <w:rFonts w:ascii="Pluto Sans Medium" w:hAnsi="Pluto Sans Medium" w:cs="Arial"/>
          <w:highlight w:val="yellow"/>
        </w:rPr>
        <w:t>FINALE:</w:t>
      </w:r>
      <w:r>
        <w:rPr>
          <w:rFonts w:ascii="Pluto Sans Medium" w:hAnsi="Pluto Sans Medium" w:cs="Arial"/>
        </w:rPr>
        <w:tab/>
      </w:r>
      <w:r>
        <w:rPr>
          <w:rFonts w:ascii="Pluto Sans Medium" w:hAnsi="Pluto Sans Medium" w:cs="Arial"/>
        </w:rPr>
        <w:tab/>
        <w:t xml:space="preserve">GARA 7: </w:t>
      </w:r>
      <w:proofErr w:type="spellStart"/>
      <w:r>
        <w:rPr>
          <w:rFonts w:ascii="Pluto Sans Medium" w:hAnsi="Pluto Sans Medium" w:cs="Arial"/>
        </w:rPr>
        <w:t>vinc</w:t>
      </w:r>
      <w:proofErr w:type="spellEnd"/>
      <w:r>
        <w:rPr>
          <w:rFonts w:ascii="Pluto Sans Medium" w:hAnsi="Pluto Sans Medium" w:cs="Arial"/>
        </w:rPr>
        <w:t xml:space="preserve">. Gara 5 – </w:t>
      </w:r>
      <w:proofErr w:type="spellStart"/>
      <w:r>
        <w:rPr>
          <w:rFonts w:ascii="Pluto Sans Medium" w:hAnsi="Pluto Sans Medium" w:cs="Arial"/>
        </w:rPr>
        <w:t>vinc</w:t>
      </w:r>
      <w:proofErr w:type="spellEnd"/>
      <w:r>
        <w:rPr>
          <w:rFonts w:ascii="Pluto Sans Medium" w:hAnsi="Pluto Sans Medium" w:cs="Arial"/>
        </w:rPr>
        <w:t xml:space="preserve">. Gara </w:t>
      </w:r>
      <w:r w:rsidR="00F102E8">
        <w:rPr>
          <w:rFonts w:ascii="Pluto Sans Medium" w:hAnsi="Pluto Sans Medium" w:cs="Arial"/>
        </w:rPr>
        <w:t>6</w:t>
      </w:r>
    </w:p>
    <w:p w:rsidR="00B33785" w:rsidRDefault="00B33785" w:rsidP="00DA419D">
      <w:pPr>
        <w:widowControl w:val="0"/>
        <w:spacing w:after="120" w:line="240" w:lineRule="auto"/>
        <w:jc w:val="both"/>
        <w:rPr>
          <w:rFonts w:ascii="Pluto Sans Medium" w:hAnsi="Pluto Sans Medium" w:cs="Arial"/>
        </w:rPr>
      </w:pPr>
    </w:p>
    <w:p w:rsidR="00E9136D" w:rsidRPr="002D3800" w:rsidRDefault="00DE4E52" w:rsidP="00DA419D">
      <w:pPr>
        <w:widowControl w:val="0"/>
        <w:spacing w:after="120" w:line="240" w:lineRule="auto"/>
        <w:jc w:val="both"/>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A35DEB">
        <w:rPr>
          <w:rFonts w:ascii="Pluto Sans Medium" w:hAnsi="Pluto Sans Medium" w:cs="Arial"/>
        </w:rPr>
        <w:t>2</w:t>
      </w:r>
      <w:r w:rsidR="004D3DCE">
        <w:rPr>
          <w:rFonts w:ascii="Pluto Sans Medium" w:hAnsi="Pluto Sans Medium" w:cs="Arial"/>
        </w:rPr>
        <w:t>5</w:t>
      </w:r>
      <w:r w:rsidR="00AD15AC">
        <w:rPr>
          <w:rFonts w:ascii="Pluto Sans Medium" w:hAnsi="Pluto Sans Medium" w:cs="Arial"/>
        </w:rPr>
        <w:t xml:space="preserve"> </w:t>
      </w:r>
      <w:r w:rsidR="00A35DEB">
        <w:rPr>
          <w:rFonts w:ascii="Pluto Sans Medium" w:hAnsi="Pluto Sans Medium" w:cs="Arial"/>
        </w:rPr>
        <w:t>settembre</w:t>
      </w:r>
      <w:r w:rsidRPr="00EA177C">
        <w:rPr>
          <w:rFonts w:ascii="Pluto Sans Medium" w:hAnsi="Pluto Sans Medium" w:cs="Arial"/>
        </w:rPr>
        <w:t xml:space="preserve"> 201</w:t>
      </w:r>
      <w:r w:rsidR="004D3DCE">
        <w:rPr>
          <w:rFonts w:ascii="Pluto Sans Medium" w:hAnsi="Pluto Sans Medium" w:cs="Arial"/>
        </w:rPr>
        <w:t>7</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8E165A">
        <w:rPr>
          <w:rFonts w:ascii="Pluto Sans Medium" w:hAnsi="Pluto Sans Medium" w:cs="Arial"/>
        </w:rPr>
        <w:t>8</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78420E" w:rsidRPr="0078420E" w:rsidRDefault="0078420E" w:rsidP="0078420E">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4D3DCE" w:rsidRPr="0078420E" w:rsidRDefault="004D3DC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8E165A">
        <w:rPr>
          <w:rFonts w:ascii="Pluto Sans Medium" w:hAnsi="Pluto Sans Medium" w:cs="Cambria"/>
        </w:rPr>
        <w:t>Sarà possibile effettuare 1 Time-Out</w:t>
      </w:r>
      <w:r w:rsidR="008E165A">
        <w:rPr>
          <w:rFonts w:ascii="Pluto Sans Medium" w:hAnsi="Pluto Sans Medium" w:cs="Cambria"/>
        </w:rPr>
        <w:t>, della durata di un minuto,</w:t>
      </w:r>
      <w:r w:rsidRPr="008E165A">
        <w:rPr>
          <w:rFonts w:ascii="Pluto Sans Medium" w:hAnsi="Pluto Sans Medium" w:cs="Cambria"/>
        </w:rPr>
        <w:t xml:space="preserve"> per </w:t>
      </w:r>
      <w:r w:rsidR="008E165A">
        <w:rPr>
          <w:rFonts w:ascii="Pluto Sans Medium" w:hAnsi="Pluto Sans Medium" w:cs="Cambria"/>
        </w:rPr>
        <w:t xml:space="preserve">ogni </w:t>
      </w:r>
      <w:r w:rsidRPr="008E165A">
        <w:rPr>
          <w:rFonts w:ascii="Pluto Sans Medium" w:hAnsi="Pluto Sans Medium" w:cs="Cambria"/>
        </w:rPr>
        <w:t>squadra per ogni tempo di gioco</w:t>
      </w:r>
      <w:r>
        <w:rPr>
          <w:rFonts w:ascii="Pluto Sans Medium" w:hAnsi="Pluto Sans Medium" w:cs="Cambria"/>
        </w:rPr>
        <w:t>.</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di mano del portiere fuori dall’area di rigore determina ammonizione e non espulsione.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su chiara occasione da rete in quanto tale determina ammonizione e non espulsione a meno che non si tratti di fallo grave, tale da meritare comunque, a giudizio dell’arbitro, espulsione diretta.</w:t>
      </w:r>
    </w:p>
    <w:p w:rsidR="0078420E" w:rsidRPr="0078420E" w:rsidRDefault="0078420E" w:rsidP="0078420E">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Alle due estremità del terreno di gioco, a distanza di metri 6 di ciascun palo della porta, verso l’interno devono essere tracciate due linee perpendicolari alla linea di porta lunghe metri 10. Esse devono essere congiunte da una linea parallela alla linea di porta; entrate le aree delimitate da dette linea e dalla linea di porta sono denominate “area di rigore”.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 centro di ciascuna linea di porta devono essere collocate le porte delle dimensioni di metri 6 in larghezza e metri 2 in altezza.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La distanza regolamentare di gioco è di metri 6.</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78420E" w:rsidRPr="0078420E" w:rsidRDefault="0078420E" w:rsidP="0078420E">
      <w:pPr>
        <w:widowControl w:val="0"/>
        <w:spacing w:after="120" w:line="240" w:lineRule="auto"/>
        <w:rPr>
          <w:rFonts w:ascii="Pluto Sans Medium" w:hAnsi="Pluto Sans Medium" w:cs="Arial"/>
        </w:rPr>
      </w:pPr>
      <w:r w:rsidRPr="0078420E">
        <w:rPr>
          <w:rFonts w:ascii="Pluto Sans Medium" w:hAnsi="Pluto Sans Medium" w:cs="Cambria"/>
        </w:rPr>
        <w:lastRenderedPageBreak/>
        <w:t>Il calcio di rinvio si effettua palla a terra in qualsiasi posizione purché dentro l’area di rigore.</w:t>
      </w: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xml:space="preserve">). In </w:t>
      </w:r>
      <w:r w:rsidR="00DE4E52" w:rsidRPr="002D3800">
        <w:rPr>
          <w:rFonts w:ascii="Pluto Sans Medium" w:hAnsi="Pluto Sans Medium" w:cs="Arial"/>
        </w:rPr>
        <w:lastRenderedPageBreak/>
        <w:t>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20 ottobre 2017; la seconda finestra di tesseramento inizierà il 1 gennaio 2018 e chiuderà il 23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Non potranno essere tesserati per il Campionato Provinciale di calcio a </w:t>
      </w:r>
      <w:r w:rsidR="008E165A">
        <w:rPr>
          <w:rFonts w:ascii="Pluto Sans Medium" w:hAnsi="Pluto Sans Medium" w:cs="Cambria"/>
        </w:rPr>
        <w:t>7</w:t>
      </w:r>
      <w:r w:rsidRPr="0078420E">
        <w:rPr>
          <w:rFonts w:ascii="Pluto Sans Medium" w:hAnsi="Pluto Sans Medium" w:cs="Cambria"/>
        </w:rPr>
        <w:t xml:space="preserve"> CAI di Piacenza i Giocatori che risultano “tesserati” per Società partecipanti ai campionati F.I.G.C. di calcio a 11 (compresa la categoria Giovanile Juniores Nazionale e tutte le Categorie Giovanili Professionistiche). Verrà tuttavia data la possibilità ad ogni squadra di tesserare:</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Terza Categoria (di seguito “Giocatori F.I.G.C. Liberi di Terza”).</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Seconda Categoria (di seguito “Giocatori F.I.G.C. Liberi di Seconda”).</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Nella distinta di gara potranno essere presenti al massimo n. 2 “tesserati”  F.I.G.C. tra Seconda e Terza Categoria.</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 xml:space="preserve">I Giocatori che partecipano ai campionati F.I.G.C. Juniores Regionali (nati dal 1/1/1998) sono equiparati ai Giocatori F.I.G.C. Liberi di Seconda, mentre i Giocatori che partecipano ai campionati F.I.G.C. Juniores Provinciali (nati dal 1/1/1997)  non sono soggetti a limitazioni e pertanto possono essere liberamente presenti nella distinta di gara. Le squadre sono tenute a presentare, all’atto del tesseramento, </w:t>
      </w:r>
      <w:r w:rsidRPr="008E165A">
        <w:rPr>
          <w:rFonts w:ascii="Pluto Sans Medium" w:hAnsi="Pluto Sans Medium" w:cs="Cambria"/>
        </w:rPr>
        <w:lastRenderedPageBreak/>
        <w:t>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2017/2018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01/09/2017 al 20/10/2017 e dal 01/01/2018 al 02/02/2018. Un Giocatore che viene tesserato nel corso dell’anno in una squadra F.I.G.C. è inibito dal partecipare al Campionato Provinciale LNCA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 Provinciale LNCA.</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w:t>
      </w:r>
      <w:r w:rsidR="00681A1A" w:rsidRPr="002D3800">
        <w:rPr>
          <w:rFonts w:ascii="Pluto Sans Medium" w:hAnsi="Pluto Sans Medium" w:cs="Arial"/>
        </w:rPr>
        <w:lastRenderedPageBreak/>
        <w:t xml:space="preserve">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w:t>
      </w:r>
      <w:r w:rsidRPr="008E165A">
        <w:rPr>
          <w:rFonts w:ascii="Pluto Sans Medium" w:hAnsi="Pluto Sans Medium" w:cs="Arial"/>
        </w:rPr>
        <w:lastRenderedPageBreak/>
        <w:t>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 xml:space="preserve">egolamento, avendo precedentemente espletato le formalità di rito </w:t>
      </w:r>
      <w:r w:rsidRPr="002D3800">
        <w:rPr>
          <w:rFonts w:ascii="Pluto Sans Medium" w:hAnsi="Pluto Sans Medium" w:cs="Arial"/>
        </w:rPr>
        <w:lastRenderedPageBreak/>
        <w:t>(</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lastRenderedPageBreak/>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8E165A">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(Pronto Arbitri tel. 329 20276</w:t>
      </w:r>
      <w:r w:rsidR="008E165A">
        <w:rPr>
          <w:rFonts w:ascii="Pluto Sans Medium" w:hAnsi="Pluto Sans Medium" w:cs="Arial"/>
          <w:u w:val="single"/>
        </w:rPr>
        <w:t>78 - 348 0082468 – 335 7742780)</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w:t>
      </w:r>
      <w:r w:rsidRPr="002D3800">
        <w:rPr>
          <w:rFonts w:ascii="Pluto Sans Medium" w:hAnsi="Pluto Sans Medium" w:cs="Arial"/>
        </w:rPr>
        <w:lastRenderedPageBreak/>
        <w:t xml:space="preserve">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Le gare, in riferimento alle quali le sanzioni a carico dei tesserati si considerano scontate, sono quelle che hanno conseguito un risultato valido </w:t>
      </w:r>
      <w:r w:rsidRPr="002D3800">
        <w:rPr>
          <w:rFonts w:ascii="Pluto Sans Medium" w:hAnsi="Pluto Sans Medium" w:cs="Arial"/>
        </w:rPr>
        <w:lastRenderedPageBreak/>
        <w:t>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lastRenderedPageBreak/>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Costituisce offesa ogni comportamento, gesto o espressione tendenti a </w:t>
      </w:r>
      <w:r w:rsidRPr="002D3800">
        <w:rPr>
          <w:rFonts w:ascii="Pluto Sans Medium" w:hAnsi="Pluto Sans Medium" w:cs="Arial"/>
        </w:rPr>
        <w:lastRenderedPageBreak/>
        <w:t>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 xml:space="preserve">Inducano o tentino di indurre gli Ufficiali di gara ad alterare il contenuto </w:t>
      </w:r>
      <w:r w:rsidRPr="002D3800">
        <w:rPr>
          <w:rFonts w:ascii="Pluto Sans Medium" w:hAnsi="Pluto Sans Medium" w:cs="Arial"/>
        </w:rPr>
        <w:lastRenderedPageBreak/>
        <w:t>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w:t>
      </w:r>
      <w:r w:rsidRPr="002D3800">
        <w:rPr>
          <w:rFonts w:ascii="Pluto Sans Medium" w:hAnsi="Pluto Sans Medium" w:cs="Arial"/>
        </w:rPr>
        <w:lastRenderedPageBreak/>
        <w:t xml:space="preserve">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9069D7">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AD656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12101E">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12101E">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12101E">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Pr>
                <w:rFonts w:ascii="Pluto Sans Medium" w:hAnsi="Pluto Sans Medium" w:cs="Arial"/>
              </w:rPr>
              <w:lastRenderedPageBreak/>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lastRenderedPageBreak/>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04" w:rsidRDefault="00974F04" w:rsidP="00DE4E52">
      <w:pPr>
        <w:spacing w:after="0" w:line="240" w:lineRule="auto"/>
      </w:pPr>
      <w:r>
        <w:separator/>
      </w:r>
    </w:p>
  </w:endnote>
  <w:endnote w:type="continuationSeparator" w:id="0">
    <w:p w:rsidR="00974F04" w:rsidRDefault="00974F04"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862465" w:rsidRPr="00E00559" w:rsidRDefault="00862465"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002D6005" w:rsidRPr="00E00559">
              <w:rPr>
                <w:rFonts w:ascii="Pluto Sans Medium" w:hAnsi="Pluto Sans Medium" w:cs="Times New Roman"/>
                <w:bCs/>
                <w:szCs w:val="24"/>
              </w:rPr>
              <w:fldChar w:fldCharType="separate"/>
            </w:r>
            <w:r w:rsidR="00F102E8">
              <w:rPr>
                <w:rFonts w:ascii="Pluto Sans Medium" w:hAnsi="Pluto Sans Medium" w:cs="Times New Roman"/>
                <w:bCs/>
                <w:noProof/>
                <w:sz w:val="20"/>
              </w:rPr>
              <w:t>3</w:t>
            </w:r>
            <w:r w:rsidR="002D6005"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002D6005" w:rsidRPr="00E00559">
              <w:rPr>
                <w:rFonts w:ascii="Pluto Sans Medium" w:hAnsi="Pluto Sans Medium" w:cs="Times New Roman"/>
                <w:bCs/>
                <w:szCs w:val="24"/>
              </w:rPr>
              <w:fldChar w:fldCharType="separate"/>
            </w:r>
            <w:r w:rsidR="00F102E8">
              <w:rPr>
                <w:rFonts w:ascii="Pluto Sans Medium" w:hAnsi="Pluto Sans Medium" w:cs="Times New Roman"/>
                <w:bCs/>
                <w:noProof/>
                <w:sz w:val="20"/>
              </w:rPr>
              <w:t>24</w:t>
            </w:r>
            <w:r w:rsidR="002D6005"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04" w:rsidRDefault="00974F04" w:rsidP="00DE4E52">
      <w:pPr>
        <w:spacing w:after="0" w:line="240" w:lineRule="auto"/>
      </w:pPr>
      <w:r>
        <w:separator/>
      </w:r>
    </w:p>
  </w:footnote>
  <w:footnote w:type="continuationSeparator" w:id="0">
    <w:p w:rsidR="00974F04" w:rsidRDefault="00974F04"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65" w:rsidRPr="00C92C58" w:rsidRDefault="00862465"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2A4B"/>
    <w:rsid w:val="00187110"/>
    <w:rsid w:val="001A290D"/>
    <w:rsid w:val="001B069E"/>
    <w:rsid w:val="001B1260"/>
    <w:rsid w:val="001F29EE"/>
    <w:rsid w:val="001F78BF"/>
    <w:rsid w:val="00200C67"/>
    <w:rsid w:val="002049C5"/>
    <w:rsid w:val="002108A6"/>
    <w:rsid w:val="00210CF8"/>
    <w:rsid w:val="00221C4B"/>
    <w:rsid w:val="00226A0A"/>
    <w:rsid w:val="0024569F"/>
    <w:rsid w:val="00256744"/>
    <w:rsid w:val="00265A7D"/>
    <w:rsid w:val="0028756E"/>
    <w:rsid w:val="00292FE0"/>
    <w:rsid w:val="00293E00"/>
    <w:rsid w:val="002A1A42"/>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97995"/>
    <w:rsid w:val="005A36CD"/>
    <w:rsid w:val="005A550E"/>
    <w:rsid w:val="005B254E"/>
    <w:rsid w:val="005B4E2C"/>
    <w:rsid w:val="005D31DC"/>
    <w:rsid w:val="005E144F"/>
    <w:rsid w:val="005F6B73"/>
    <w:rsid w:val="005F7C7D"/>
    <w:rsid w:val="00600393"/>
    <w:rsid w:val="00611094"/>
    <w:rsid w:val="00622EB4"/>
    <w:rsid w:val="006441DF"/>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40CC3"/>
    <w:rsid w:val="0075516D"/>
    <w:rsid w:val="007603CB"/>
    <w:rsid w:val="00760D4C"/>
    <w:rsid w:val="00775E17"/>
    <w:rsid w:val="00783725"/>
    <w:rsid w:val="0078420E"/>
    <w:rsid w:val="007B42F3"/>
    <w:rsid w:val="007B56FC"/>
    <w:rsid w:val="007B71E4"/>
    <w:rsid w:val="007C7FD9"/>
    <w:rsid w:val="007D2FC8"/>
    <w:rsid w:val="007D44A8"/>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7D7C"/>
    <w:rsid w:val="009529BE"/>
    <w:rsid w:val="00955B6D"/>
    <w:rsid w:val="00960EA8"/>
    <w:rsid w:val="0096644D"/>
    <w:rsid w:val="00974F04"/>
    <w:rsid w:val="00995826"/>
    <w:rsid w:val="00995CEE"/>
    <w:rsid w:val="009974A1"/>
    <w:rsid w:val="009C5BF3"/>
    <w:rsid w:val="009F232C"/>
    <w:rsid w:val="009F6AB6"/>
    <w:rsid w:val="00A21C63"/>
    <w:rsid w:val="00A274C1"/>
    <w:rsid w:val="00A35DEB"/>
    <w:rsid w:val="00A775E6"/>
    <w:rsid w:val="00A91E2C"/>
    <w:rsid w:val="00A931B3"/>
    <w:rsid w:val="00AA2ECB"/>
    <w:rsid w:val="00AB3EDE"/>
    <w:rsid w:val="00AD15AC"/>
    <w:rsid w:val="00AE4B14"/>
    <w:rsid w:val="00B0592A"/>
    <w:rsid w:val="00B0696F"/>
    <w:rsid w:val="00B11449"/>
    <w:rsid w:val="00B146AB"/>
    <w:rsid w:val="00B17597"/>
    <w:rsid w:val="00B32AAA"/>
    <w:rsid w:val="00B33785"/>
    <w:rsid w:val="00B374C7"/>
    <w:rsid w:val="00B46A8C"/>
    <w:rsid w:val="00B472AF"/>
    <w:rsid w:val="00B8275F"/>
    <w:rsid w:val="00BA4046"/>
    <w:rsid w:val="00BB34FC"/>
    <w:rsid w:val="00BE1D43"/>
    <w:rsid w:val="00BE6AD6"/>
    <w:rsid w:val="00BF3102"/>
    <w:rsid w:val="00C00874"/>
    <w:rsid w:val="00C1394F"/>
    <w:rsid w:val="00C32FBF"/>
    <w:rsid w:val="00C41B0E"/>
    <w:rsid w:val="00C43344"/>
    <w:rsid w:val="00C7026C"/>
    <w:rsid w:val="00C707EC"/>
    <w:rsid w:val="00C752A8"/>
    <w:rsid w:val="00C84451"/>
    <w:rsid w:val="00C92C58"/>
    <w:rsid w:val="00C9669C"/>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A419D"/>
    <w:rsid w:val="00DB1D60"/>
    <w:rsid w:val="00DD44F6"/>
    <w:rsid w:val="00DE4E52"/>
    <w:rsid w:val="00DE6436"/>
    <w:rsid w:val="00DF219E"/>
    <w:rsid w:val="00E00559"/>
    <w:rsid w:val="00E0300D"/>
    <w:rsid w:val="00E032D3"/>
    <w:rsid w:val="00E17E5F"/>
    <w:rsid w:val="00E3395A"/>
    <w:rsid w:val="00E359D2"/>
    <w:rsid w:val="00E46041"/>
    <w:rsid w:val="00E5720A"/>
    <w:rsid w:val="00E629C1"/>
    <w:rsid w:val="00E66E1B"/>
    <w:rsid w:val="00E817B1"/>
    <w:rsid w:val="00E82479"/>
    <w:rsid w:val="00E9136D"/>
    <w:rsid w:val="00E924C3"/>
    <w:rsid w:val="00E96929"/>
    <w:rsid w:val="00EA177C"/>
    <w:rsid w:val="00EB4D37"/>
    <w:rsid w:val="00EB6A7C"/>
    <w:rsid w:val="00EB73DB"/>
    <w:rsid w:val="00EC24C2"/>
    <w:rsid w:val="00EC6EB7"/>
    <w:rsid w:val="00ED41E8"/>
    <w:rsid w:val="00EF4D4D"/>
    <w:rsid w:val="00F032B9"/>
    <w:rsid w:val="00F102E8"/>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E76A-C32E-43E4-A6B6-E804EF1E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8602</Words>
  <Characters>49034</Characters>
  <Application>Microsoft Office Word</Application>
  <DocSecurity>0</DocSecurity>
  <Lines>408</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5</cp:revision>
  <cp:lastPrinted>2017-09-12T08:46:00Z</cp:lastPrinted>
  <dcterms:created xsi:type="dcterms:W3CDTF">2018-01-30T09:33:00Z</dcterms:created>
  <dcterms:modified xsi:type="dcterms:W3CDTF">2018-01-30T09:57:00Z</dcterms:modified>
</cp:coreProperties>
</file>